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480" w:after="1080"/>
        <w:ind w:firstLine="5954"/>
        <w:rPr>
          <w:rFonts w:ascii="Calibri" w:hAnsi="Calibri" w:cs="Calibri" w:asciiTheme="minorHAnsi" w:cstheme="minorHAnsi" w:hAnsiTheme="minorHAnsi"/>
          <w:b/>
          <w:b/>
          <w:sz w:val="24"/>
          <w:szCs w:val="24"/>
        </w:rPr>
      </w:pPr>
      <w:r>
        <w:rPr>
          <w:rFonts w:cs="Calibri" w:cstheme="minorHAnsi"/>
          <w:sz w:val="24"/>
          <w:szCs w:val="24"/>
        </w:rPr>
        <w:t>Akceptuję</w:t>
      </w:r>
    </w:p>
    <w:p>
      <w:pPr>
        <w:pStyle w:val="Normal"/>
        <w:spacing w:lineRule="auto" w:line="276" w:before="0" w:after="160"/>
        <w:rPr>
          <w:rFonts w:ascii="Calibri" w:hAnsi="Calibri" w:cs="Calibri" w:asciiTheme="minorHAnsi" w:cstheme="minorHAnsi" w:hAnsiTheme="minorHAnsi"/>
          <w:b/>
          <w:b/>
          <w:sz w:val="24"/>
          <w:szCs w:val="24"/>
        </w:rPr>
      </w:pPr>
      <w:r>
        <w:rPr>
          <w:rFonts w:cs="Calibri" w:cstheme="minorHAnsi"/>
          <w:b/>
          <w:sz w:val="24"/>
          <w:szCs w:val="24"/>
        </w:rPr>
        <w:t>MINISTERSTWO</w:t>
      </w:r>
    </w:p>
    <w:p>
      <w:pPr>
        <w:pStyle w:val="Normal"/>
        <w:spacing w:lineRule="auto" w:line="276" w:before="0" w:after="1440"/>
        <w:rPr>
          <w:rFonts w:ascii="Calibri" w:hAnsi="Calibri" w:cs="Calibri" w:asciiTheme="minorHAnsi" w:cstheme="minorHAnsi" w:hAnsiTheme="minorHAnsi"/>
          <w:sz w:val="24"/>
          <w:szCs w:val="24"/>
        </w:rPr>
      </w:pPr>
      <w:r>
        <w:rPr>
          <w:rFonts w:cs="Calibri" w:cstheme="minorHAnsi"/>
          <w:b/>
          <w:sz w:val="24"/>
          <w:szCs w:val="24"/>
        </w:rPr>
        <w:t>RODZINY I POLITYKI SPOŁECZNEJ</w:t>
      </w:r>
    </w:p>
    <w:p>
      <w:pPr>
        <w:pStyle w:val="Normal"/>
        <w:spacing w:lineRule="auto" w:line="259" w:before="0" w:after="160"/>
        <w:rPr>
          <w:rFonts w:ascii="Calibri" w:hAnsi="Calibri" w:cs="Calibri" w:asciiTheme="minorHAnsi" w:cstheme="minorHAnsi" w:hAnsiTheme="minorHAnsi"/>
          <w:b/>
          <w:b/>
          <w:i/>
          <w:i/>
          <w:color w:val="FF0000"/>
          <w:sz w:val="36"/>
          <w:szCs w:val="36"/>
        </w:rPr>
      </w:pPr>
      <w:r>
        <w:rPr>
          <w:rFonts w:cs="Calibri" w:cstheme="minorHAnsi"/>
          <w:b/>
          <w:i/>
          <w:color w:val="FF0000"/>
          <w:sz w:val="36"/>
          <w:szCs w:val="36"/>
        </w:rPr>
        <w:t xml:space="preserve">Program „Asystent osobisty osoby niepełnosprawnej” </w:t>
      </w:r>
    </w:p>
    <w:p>
      <w:pPr>
        <w:pStyle w:val="Normal"/>
        <w:spacing w:lineRule="auto" w:line="259" w:before="0" w:after="7680"/>
        <w:rPr>
          <w:rFonts w:ascii="Calibri" w:hAnsi="Calibri" w:cs="Calibri" w:asciiTheme="minorHAnsi" w:cstheme="minorHAnsi" w:hAnsiTheme="minorHAnsi"/>
          <w:sz w:val="24"/>
          <w:szCs w:val="24"/>
        </w:rPr>
      </w:pPr>
      <w:r>
        <w:rPr>
          <w:rFonts w:cs="Calibri" w:cstheme="minorHAnsi"/>
          <w:b/>
          <w:i/>
          <w:color w:val="FF0000"/>
          <w:sz w:val="36"/>
          <w:szCs w:val="36"/>
        </w:rPr>
        <w:t>– </w:t>
      </w:r>
      <w:r>
        <w:rPr>
          <w:rFonts w:cs="Calibri" w:cstheme="minorHAnsi"/>
          <w:b/>
          <w:i/>
          <w:color w:val="FF0000"/>
          <w:sz w:val="36"/>
          <w:szCs w:val="36"/>
        </w:rPr>
        <w:t>edycja 2022</w:t>
      </w:r>
    </w:p>
    <w:p>
      <w:pPr>
        <w:pStyle w:val="Normal"/>
        <w:spacing w:lineRule="auto" w:line="259"/>
        <w:rPr>
          <w:rFonts w:ascii="Calibri" w:hAnsi="Calibri" w:cs="Calibri" w:asciiTheme="minorHAnsi" w:cstheme="minorHAnsi" w:hAnsiTheme="minorHAnsi"/>
          <w:sz w:val="24"/>
          <w:szCs w:val="24"/>
        </w:rPr>
      </w:pPr>
      <w:r>
        <w:rPr>
          <w:rFonts w:cs="Calibri" w:cstheme="minorHAnsi"/>
          <w:sz w:val="24"/>
          <w:szCs w:val="24"/>
        </w:rPr>
        <w:t>Warszawa, październik 2021 r.</w:t>
      </w:r>
    </w:p>
    <w:p>
      <w:pPr>
        <w:pStyle w:val="Normal"/>
        <w:spacing w:lineRule="auto" w:line="259" w:before="0" w:after="600"/>
        <w:rPr>
          <w:rFonts w:ascii="Calibri" w:hAnsi="Calibri" w:cs="Calibri" w:asciiTheme="minorHAnsi" w:cstheme="minorHAnsi" w:hAnsiTheme="minorHAnsi"/>
          <w:sz w:val="28"/>
          <w:szCs w:val="28"/>
        </w:rPr>
      </w:pPr>
      <w:r>
        <w:rPr>
          <w:rFonts w:cs="Calibri" w:cstheme="minorHAnsi"/>
          <w:sz w:val="28"/>
          <w:szCs w:val="28"/>
        </w:rPr>
        <w:t xml:space="preserve"> </w:t>
      </w:r>
    </w:p>
    <w:sdt>
      <w:sdtPr>
        <w:docPartObj>
          <w:docPartGallery w:val="Table of Contents"/>
          <w:docPartUnique w:val="true"/>
        </w:docPartObj>
      </w:sdtPr>
      <w:sdtContent>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r>
            <w:fldChar w:fldCharType="begin"/>
          </w:r>
          <w:r>
            <w:rPr>
              <w:webHidden/>
              <w:rStyle w:val="Czeindeksu"/>
              <w:sz w:val="24"/>
              <w:szCs w:val="24"/>
              <w:rFonts w:cs="Calibri"/>
            </w:rPr>
            <w:instrText> TOC \z \o "1-3" \u \h</w:instrText>
          </w:r>
          <w:r>
            <w:rPr>
              <w:webHidden/>
              <w:rStyle w:val="Czeindeksu"/>
              <w:sz w:val="24"/>
              <w:szCs w:val="24"/>
              <w:rFonts w:cs="Calibri"/>
            </w:rPr>
            <w:fldChar w:fldCharType="separate"/>
          </w:r>
          <w:hyperlink w:anchor="_Toc84328131">
            <w:r>
              <w:rPr>
                <w:webHidden/>
                <w:rStyle w:val="Czeindeksu"/>
                <w:rFonts w:cs="Calibri" w:cstheme="minorHAnsi"/>
                <w:sz w:val="24"/>
                <w:szCs w:val="24"/>
              </w:rPr>
              <w:t>Wstęp</w:t>
            </w:r>
            <w:r>
              <w:rPr>
                <w:webHidden/>
              </w:rPr>
              <w:fldChar w:fldCharType="begin"/>
            </w:r>
            <w:r>
              <w:rPr>
                <w:webHidden/>
              </w:rPr>
              <w:instrText>PAGEREF _Toc84328131 \h</w:instrText>
            </w:r>
            <w:r>
              <w:rPr>
                <w:webHidden/>
              </w:rPr>
              <w:fldChar w:fldCharType="separate"/>
            </w:r>
            <w:r>
              <w:rPr>
                <w:rStyle w:val="Czeindeksu"/>
                <w:vanish w:val="false"/>
                <w:sz w:val="24"/>
                <w:szCs w:val="24"/>
              </w:rPr>
              <w:tab/>
              <w:t>2</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2">
            <w:r>
              <w:rPr>
                <w:webHidden/>
                <w:rStyle w:val="Czeindeksu"/>
                <w:rFonts w:cs="Calibri" w:cstheme="minorHAnsi"/>
                <w:sz w:val="24"/>
                <w:szCs w:val="24"/>
              </w:rPr>
              <w:t>I. Podstawa prawna Programu</w:t>
            </w:r>
            <w:r>
              <w:rPr>
                <w:webHidden/>
              </w:rPr>
              <w:fldChar w:fldCharType="begin"/>
            </w:r>
            <w:r>
              <w:rPr>
                <w:webHidden/>
              </w:rPr>
              <w:instrText>PAGEREF _Toc84328132 \h</w:instrText>
            </w:r>
            <w:r>
              <w:rPr>
                <w:webHidden/>
              </w:rPr>
              <w:fldChar w:fldCharType="separate"/>
            </w:r>
            <w:r>
              <w:rPr>
                <w:rStyle w:val="Czeindeksu"/>
                <w:vanish w:val="false"/>
                <w:sz w:val="24"/>
                <w:szCs w:val="24"/>
              </w:rPr>
              <w:tab/>
              <w:t>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3">
            <w:r>
              <w:rPr>
                <w:webHidden/>
                <w:rStyle w:val="Czeindeksu"/>
                <w:rFonts w:cs="Calibri" w:cstheme="minorHAnsi"/>
                <w:sz w:val="24"/>
                <w:szCs w:val="24"/>
              </w:rPr>
              <w:t>II. Diagnoza sytuacji</w:t>
            </w:r>
            <w:r>
              <w:rPr>
                <w:webHidden/>
              </w:rPr>
              <w:fldChar w:fldCharType="begin"/>
            </w:r>
            <w:r>
              <w:rPr>
                <w:webHidden/>
              </w:rPr>
              <w:instrText>PAGEREF _Toc84328133 \h</w:instrText>
            </w:r>
            <w:r>
              <w:rPr>
                <w:webHidden/>
              </w:rPr>
              <w:fldChar w:fldCharType="separate"/>
            </w:r>
            <w:r>
              <w:rPr>
                <w:rStyle w:val="Czeindeksu"/>
                <w:vanish w:val="false"/>
                <w:sz w:val="24"/>
                <w:szCs w:val="24"/>
              </w:rPr>
              <w:tab/>
              <w:t>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4">
            <w:r>
              <w:rPr>
                <w:webHidden/>
                <w:rStyle w:val="Czeindeksu"/>
                <w:rFonts w:cs="Calibri" w:cstheme="minorHAnsi"/>
                <w:sz w:val="24"/>
                <w:szCs w:val="24"/>
              </w:rPr>
              <w:t xml:space="preserve">III. Cele i adresaci </w:t>
            </w:r>
            <w:r>
              <w:rPr>
                <w:rStyle w:val="Czeindeksu"/>
                <w:rFonts w:cs="Calibri" w:cstheme="minorHAnsi"/>
                <w:sz w:val="24"/>
                <w:szCs w:val="24"/>
                <w:u w:val="none"/>
              </w:rPr>
              <w:t>Programu</w:t>
            </w:r>
            <w:r>
              <w:rPr>
                <w:webHidden/>
              </w:rPr>
              <w:fldChar w:fldCharType="begin"/>
            </w:r>
            <w:r>
              <w:rPr>
                <w:webHidden/>
              </w:rPr>
              <w:instrText>PAGEREF _Toc84328134 \h</w:instrText>
            </w:r>
            <w:r>
              <w:rPr>
                <w:webHidden/>
              </w:rPr>
              <w:fldChar w:fldCharType="separate"/>
            </w:r>
            <w:r>
              <w:rPr>
                <w:rStyle w:val="Czeindeksu"/>
                <w:vanish w:val="false"/>
                <w:sz w:val="24"/>
                <w:szCs w:val="24"/>
              </w:rPr>
              <w:tab/>
              <w:t>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5">
            <w:r>
              <w:rPr>
                <w:webHidden/>
                <w:rStyle w:val="Czeindeksu"/>
                <w:rFonts w:cs="Calibri" w:cstheme="minorHAnsi"/>
                <w:sz w:val="24"/>
                <w:szCs w:val="24"/>
              </w:rPr>
              <w:t>IV. Zakres podmiotowy i przedmiotowy Programu</w:t>
            </w:r>
            <w:r>
              <w:rPr>
                <w:webHidden/>
              </w:rPr>
              <w:fldChar w:fldCharType="begin"/>
            </w:r>
            <w:r>
              <w:rPr>
                <w:webHidden/>
              </w:rPr>
              <w:instrText>PAGEREF _Toc84328135 \h</w:instrText>
            </w:r>
            <w:r>
              <w:rPr>
                <w:webHidden/>
              </w:rPr>
              <w:fldChar w:fldCharType="separate"/>
            </w:r>
            <w:r>
              <w:rPr>
                <w:rStyle w:val="Czeindeksu"/>
                <w:vanish w:val="false"/>
                <w:sz w:val="24"/>
                <w:szCs w:val="24"/>
              </w:rPr>
              <w:tab/>
              <w:t>6</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6">
            <w:r>
              <w:rPr>
                <w:webHidden/>
                <w:rStyle w:val="Czeindeksu"/>
                <w:rFonts w:cs="Calibri" w:cstheme="minorHAnsi"/>
                <w:sz w:val="24"/>
                <w:szCs w:val="24"/>
              </w:rPr>
              <w:t>V. Kwalifikowalność kosztów</w:t>
            </w:r>
            <w:r>
              <w:rPr>
                <w:webHidden/>
              </w:rPr>
              <w:fldChar w:fldCharType="begin"/>
            </w:r>
            <w:r>
              <w:rPr>
                <w:webHidden/>
              </w:rPr>
              <w:instrText>PAGEREF _Toc84328136 \h</w:instrText>
            </w:r>
            <w:r>
              <w:rPr>
                <w:webHidden/>
              </w:rPr>
              <w:fldChar w:fldCharType="separate"/>
            </w:r>
            <w:r>
              <w:rPr>
                <w:rStyle w:val="Czeindeksu"/>
                <w:vanish w:val="false"/>
                <w:sz w:val="24"/>
                <w:szCs w:val="24"/>
              </w:rPr>
              <w:tab/>
              <w:t>9</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7">
            <w:r>
              <w:rPr>
                <w:webHidden/>
                <w:rStyle w:val="Czeindeksu"/>
                <w:rFonts w:cs="Calibri" w:cstheme="minorHAnsi"/>
                <w:sz w:val="24"/>
                <w:szCs w:val="24"/>
              </w:rPr>
              <w:t>VI. Finansowanie Programu oraz warunki przyznawania gminom/powiatom środków z Funduszu przeznaczonych na realizację Programu</w:t>
            </w:r>
            <w:r>
              <w:rPr>
                <w:webHidden/>
              </w:rPr>
              <w:fldChar w:fldCharType="begin"/>
            </w:r>
            <w:r>
              <w:rPr>
                <w:webHidden/>
              </w:rPr>
              <w:instrText>PAGEREF _Toc84328137 \h</w:instrText>
            </w:r>
            <w:r>
              <w:rPr>
                <w:webHidden/>
              </w:rPr>
              <w:fldChar w:fldCharType="separate"/>
            </w:r>
            <w:r>
              <w:rPr>
                <w:rStyle w:val="Czeindeksu"/>
                <w:vanish w:val="false"/>
                <w:sz w:val="24"/>
                <w:szCs w:val="24"/>
              </w:rPr>
              <w:tab/>
              <w:t>12</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8">
            <w:r>
              <w:rPr>
                <w:webHidden/>
                <w:rStyle w:val="Czeindeksu"/>
                <w:rFonts w:cs="Calibri" w:cstheme="minorHAnsi"/>
                <w:sz w:val="24"/>
                <w:szCs w:val="24"/>
              </w:rPr>
              <w:t>VII. Terminy i warunki realizacji Programu</w:t>
            </w:r>
            <w:r>
              <w:rPr>
                <w:webHidden/>
              </w:rPr>
              <w:fldChar w:fldCharType="begin"/>
            </w:r>
            <w:r>
              <w:rPr>
                <w:webHidden/>
              </w:rPr>
              <w:instrText>PAGEREF _Toc84328138 \h</w:instrText>
            </w:r>
            <w:r>
              <w:rPr>
                <w:webHidden/>
              </w:rPr>
              <w:fldChar w:fldCharType="separate"/>
            </w:r>
            <w:r>
              <w:rPr>
                <w:rStyle w:val="Czeindeksu"/>
                <w:vanish w:val="false"/>
                <w:sz w:val="24"/>
                <w:szCs w:val="24"/>
              </w:rPr>
              <w:tab/>
              <w:t>13</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39">
            <w:r>
              <w:rPr>
                <w:webHidden/>
                <w:rStyle w:val="Czeindeksu"/>
                <w:rFonts w:cs="Calibri" w:cstheme="minorHAnsi"/>
                <w:sz w:val="24"/>
                <w:szCs w:val="24"/>
              </w:rPr>
              <w:t>VIII. Tryb przystąpienia do Programu</w:t>
            </w:r>
            <w:r>
              <w:rPr>
                <w:webHidden/>
              </w:rPr>
              <w:fldChar w:fldCharType="begin"/>
            </w:r>
            <w:r>
              <w:rPr>
                <w:webHidden/>
              </w:rPr>
              <w:instrText>PAGEREF _Toc84328139 \h</w:instrText>
            </w:r>
            <w:r>
              <w:rPr>
                <w:webHidden/>
              </w:rPr>
              <w:fldChar w:fldCharType="separate"/>
            </w:r>
            <w:r>
              <w:rPr>
                <w:rStyle w:val="Czeindeksu"/>
                <w:vanish w:val="false"/>
                <w:sz w:val="24"/>
                <w:szCs w:val="24"/>
              </w:rPr>
              <w:tab/>
              <w:t>15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0">
            <w:r>
              <w:rPr>
                <w:webHidden/>
                <w:rStyle w:val="Czeindeksu"/>
                <w:rFonts w:cs="Calibri" w:cstheme="minorHAnsi"/>
                <w:sz w:val="24"/>
                <w:szCs w:val="24"/>
              </w:rPr>
              <w:t>IX. Kryteria naboru wniosków przez wojewodę</w:t>
            </w:r>
            <w:r>
              <w:rPr>
                <w:webHidden/>
              </w:rPr>
              <w:fldChar w:fldCharType="begin"/>
            </w:r>
            <w:r>
              <w:rPr>
                <w:webHidden/>
              </w:rPr>
              <w:instrText>PAGEREF _Toc84328140 \h</w:instrText>
            </w:r>
            <w:r>
              <w:rPr>
                <w:webHidden/>
              </w:rPr>
              <w:fldChar w:fldCharType="separate"/>
            </w:r>
            <w:r>
              <w:rPr>
                <w:rStyle w:val="Czeindeksu"/>
                <w:vanish w:val="false"/>
                <w:sz w:val="24"/>
                <w:szCs w:val="24"/>
              </w:rPr>
              <w:tab/>
              <w:t>15</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1">
            <w:r>
              <w:rPr>
                <w:webHidden/>
                <w:rStyle w:val="Czeindeksu"/>
                <w:rFonts w:cs="Calibri" w:cstheme="minorHAnsi"/>
                <w:sz w:val="24"/>
                <w:szCs w:val="24"/>
              </w:rPr>
              <w:t>X. Przetwarzanie danych osobowych</w:t>
            </w:r>
            <w:r>
              <w:rPr>
                <w:webHidden/>
              </w:rPr>
              <w:fldChar w:fldCharType="begin"/>
            </w:r>
            <w:r>
              <w:rPr>
                <w:webHidden/>
              </w:rPr>
              <w:instrText>PAGEREF _Toc84328141 \h</w:instrText>
            </w:r>
            <w:r>
              <w:rPr>
                <w:webHidden/>
              </w:rPr>
              <w:fldChar w:fldCharType="separate"/>
            </w:r>
            <w:r>
              <w:rPr>
                <w:rStyle w:val="Czeindeksu"/>
                <w:vanish w:val="false"/>
                <w:sz w:val="24"/>
                <w:szCs w:val="24"/>
              </w:rPr>
              <w:tab/>
              <w:t>16</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2">
            <w:r>
              <w:rPr>
                <w:webHidden/>
                <w:rStyle w:val="Czeindeksu"/>
                <w:rFonts w:cs="Calibri" w:cstheme="minorHAnsi"/>
                <w:sz w:val="24"/>
                <w:szCs w:val="24"/>
              </w:rPr>
              <w:t>XI. Zadania podmiotów realizujących Program</w:t>
            </w:r>
            <w:r>
              <w:rPr>
                <w:webHidden/>
              </w:rPr>
              <w:fldChar w:fldCharType="begin"/>
            </w:r>
            <w:r>
              <w:rPr>
                <w:webHidden/>
              </w:rPr>
              <w:instrText>PAGEREF _Toc84328142 \h</w:instrText>
            </w:r>
            <w:r>
              <w:rPr>
                <w:webHidden/>
              </w:rPr>
              <w:fldChar w:fldCharType="separate"/>
            </w:r>
            <w:r>
              <w:rPr>
                <w:rStyle w:val="Czeindeksu"/>
                <w:vanish w:val="false"/>
                <w:sz w:val="24"/>
                <w:szCs w:val="24"/>
              </w:rPr>
              <w:tab/>
              <w:t>18</w:t>
            </w:r>
            <w:r>
              <w:rPr>
                <w:webHidden/>
              </w:rPr>
              <w:fldChar w:fldCharType="end"/>
            </w:r>
          </w:hyperlink>
        </w:p>
        <w:p>
          <w:pPr>
            <w:pStyle w:val="Spistreci1"/>
            <w:tabs>
              <w:tab w:val="clear" w:pos="708"/>
              <w:tab w:val="right" w:pos="9062" w:leader="dot"/>
            </w:tabs>
            <w:spacing w:lineRule="auto" w:line="360"/>
            <w:rPr>
              <w:rFonts w:ascii="Calibri" w:hAnsi="Calibri" w:eastAsia="맑은 고딕" w:cs="" w:asciiTheme="minorHAnsi" w:cstheme="minorBidi" w:eastAsiaTheme="minorEastAsia" w:hAnsiTheme="minorHAnsi"/>
              <w:sz w:val="24"/>
              <w:szCs w:val="24"/>
            </w:rPr>
          </w:pPr>
          <w:hyperlink w:anchor="_Toc84328143">
            <w:r>
              <w:rPr>
                <w:webHidden/>
                <w:rStyle w:val="Czeindeksu"/>
                <w:rFonts w:cs="Calibri" w:cstheme="minorHAnsi"/>
                <w:sz w:val="24"/>
                <w:szCs w:val="24"/>
              </w:rPr>
              <w:t>XII. Monitoring Programu</w:t>
            </w:r>
            <w:r>
              <w:rPr>
                <w:webHidden/>
              </w:rPr>
              <w:fldChar w:fldCharType="begin"/>
            </w:r>
            <w:r>
              <w:rPr>
                <w:webHidden/>
              </w:rPr>
              <w:instrText>PAGEREF _Toc84328143 \h</w:instrText>
            </w:r>
            <w:r>
              <w:rPr>
                <w:webHidden/>
              </w:rPr>
              <w:fldChar w:fldCharType="separate"/>
            </w:r>
            <w:r>
              <w:rPr>
                <w:rStyle w:val="Czeindeksu"/>
                <w:vanish w:val="false"/>
                <w:sz w:val="24"/>
                <w:szCs w:val="24"/>
              </w:rPr>
              <w:tab/>
              <w:t>21</w:t>
            </w:r>
            <w:r>
              <w:rPr>
                <w:webHidden/>
              </w:rPr>
              <w:fldChar w:fldCharType="end"/>
            </w:r>
          </w:hyperlink>
          <w:r>
            <w:rPr>
              <w:rStyle w:val="Czeindeksu"/>
              <w:sz w:val="24"/>
              <w:szCs w:val="24"/>
              <w:vanish w:val="false"/>
            </w:rPr>
            <w:fldChar w:fldCharType="end"/>
          </w:r>
        </w:p>
      </w:sdtContent>
    </w:sdt>
    <w:p>
      <w:pPr>
        <w:pStyle w:val="Spistreci1"/>
        <w:tabs>
          <w:tab w:val="clear" w:pos="708"/>
          <w:tab w:val="right" w:pos="9062" w:leader="dot"/>
        </w:tabs>
        <w:spacing w:lineRule="auto" w:line="360" w:before="0" w:after="684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259" w:before="240" w:after="0"/>
        <w:rPr>
          <w:rFonts w:ascii="Calibri" w:hAnsi="Calibri" w:eastAsia="Times New Roman" w:cs="Calibri" w:asciiTheme="minorHAnsi" w:cstheme="minorHAnsi" w:hAnsiTheme="minorHAnsi"/>
          <w:b/>
          <w:b/>
          <w:sz w:val="28"/>
          <w:szCs w:val="28"/>
        </w:rPr>
      </w:pPr>
      <w:bookmarkStart w:id="0" w:name="_Toc84328131"/>
      <w:bookmarkStart w:id="1" w:name="_Toc81227450"/>
      <w:bookmarkStart w:id="2" w:name="_Toc14868071"/>
      <w:bookmarkStart w:id="3" w:name="_Toc14779249"/>
      <w:bookmarkStart w:id="4" w:name="_Toc14163151"/>
      <w:bookmarkStart w:id="5" w:name="_Toc14098668"/>
      <w:bookmarkStart w:id="6" w:name="_Toc13231224"/>
      <w:bookmarkStart w:id="7" w:name="_Toc11157005"/>
      <w:bookmarkStart w:id="8" w:name="_Toc11156359"/>
      <w:r>
        <w:rPr>
          <w:rFonts w:eastAsia="Times New Roman" w:cs="Calibri" w:ascii="Calibri" w:hAnsi="Calibri" w:asciiTheme="minorHAnsi" w:cstheme="minorHAnsi" w:hAnsiTheme="minorHAnsi"/>
          <w:b/>
          <w:sz w:val="28"/>
          <w:szCs w:val="28"/>
        </w:rPr>
        <w:t>Wstęp</w:t>
      </w:r>
      <w:bookmarkEnd w:id="0"/>
      <w:bookmarkEnd w:id="1"/>
      <w:bookmarkEnd w:id="2"/>
      <w:bookmarkEnd w:id="3"/>
      <w:bookmarkEnd w:id="4"/>
      <w:bookmarkEnd w:id="5"/>
      <w:bookmarkEnd w:id="6"/>
      <w:bookmarkEnd w:id="7"/>
      <w:bookmarkEnd w:id="8"/>
    </w:p>
    <w:p>
      <w:pPr>
        <w:pStyle w:val="Normal"/>
        <w:spacing w:lineRule="auto" w:line="259" w:before="0" w:after="160"/>
        <w:rPr>
          <w:rFonts w:ascii="Calibri" w:hAnsi="Calibri" w:cs="Calibri" w:asciiTheme="minorHAnsi" w:cstheme="minorHAnsi" w:hAnsiTheme="minorHAnsi"/>
          <w:sz w:val="22"/>
          <w:szCs w:val="22"/>
        </w:rPr>
      </w:pPr>
      <w:r>
        <w:rPr>
          <w:rFonts w:cs="Calibri" w:cstheme="minorHAnsi"/>
          <w:sz w:val="22"/>
          <w:szCs w:val="22"/>
        </w:rPr>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Program „Asystent osobisty osoby niepełnosprawnej” – edycja 2022, zwany dalej „Programem”, ma na celu zapewnienie dostępności do usług asystencji osobistej,</w:t>
      </w:r>
      <w:r>
        <w:rPr>
          <w:rFonts w:cs="Calibri" w:cstheme="minorHAnsi"/>
          <w:color w:val="000000" w:themeColor="text1"/>
          <w:sz w:val="24"/>
          <w:szCs w:val="24"/>
        </w:rPr>
        <w:t xml:space="preserve"> tj. wsparcia w wykonywaniu codziennych czynności</w:t>
      </w:r>
      <w:r>
        <w:rPr>
          <w:rFonts w:cs="Calibri" w:cstheme="minorHAnsi"/>
          <w:sz w:val="24"/>
          <w:szCs w:val="24"/>
        </w:rPr>
        <w:t xml:space="preserve"> oraz funkcjonowaniu w życiu społecznym osób niepełnosprawnych. Usługi asystencji osobistej są formą wsparcia finansowaną w ramach poprzednich edycji tego Programu (tj. 2019 ‒ 2021) oraz Programu „Asystent osobisty osoby z niepełnosprawnościami” – edycja 2020 ‒ 2021. </w:t>
      </w:r>
    </w:p>
    <w:p>
      <w:pPr>
        <w:pStyle w:val="Normal"/>
        <w:spacing w:lineRule="auto" w:line="360"/>
        <w:rPr>
          <w:rFonts w:ascii="Calibri" w:hAnsi="Calibri" w:cs="Calibri" w:asciiTheme="minorHAnsi" w:cstheme="minorHAnsi" w:hAnsiTheme="minorHAnsi"/>
          <w:sz w:val="24"/>
          <w:szCs w:val="24"/>
        </w:rPr>
      </w:pPr>
      <w:r>
        <w:rPr>
          <w:rFonts w:cs="Calibri" w:cstheme="minorHAnsi"/>
          <w:color w:val="000000" w:themeColor="text1"/>
          <w:sz w:val="24"/>
          <w:szCs w:val="24"/>
        </w:rPr>
        <w:t>Program jest elementem polityki społecznej państwa w zakresie:</w:t>
      </w:r>
    </w:p>
    <w:p>
      <w:pPr>
        <w:pStyle w:val="ListParagraph"/>
        <w:numPr>
          <w:ilvl w:val="0"/>
          <w:numId w:val="13"/>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poprawy jakości życia osób niepełnoprawnych, w szczególności poprzez umożliwienie im jak najbardziej niezależnego życia;</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wsparcia osób niepełnosprawnych oraz zapewnienia pomocy adekwatnej do potrzeb;</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uczestnictwa osób niepełnosprawnych w wydarzeniach społecznych, kulturalnych, rozrywkowych lub sportowych itp.; </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dofinansowania jednostek samorządu terytorialnego w ramach realizowanych zadań mających na celu wsparcie społeczne osób niepełnosprawnych;</w:t>
      </w:r>
    </w:p>
    <w:p>
      <w:pPr>
        <w:pStyle w:val="ListParagraph"/>
        <w:numPr>
          <w:ilvl w:val="0"/>
          <w:numId w:val="13"/>
        </w:numPr>
        <w:spacing w:lineRule="auto" w:line="360" w:before="0" w:after="0"/>
        <w:contextualSpacing/>
        <w:jc w:val="both"/>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zwiększenia wsparcia asystenckiego dla niepełnosprawnych uczniów ze specjalnymi potrzebami edukacyjnymi, także w innych wymiarach życia i funkcjonowania społecznego.</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 ostatnich latach obserwuje się wzrost zainteresowania jednostek samorządu terytorialnego realizacją usług asystenta. Mimo to nadal wiele osób niepełnosprawnych nie ma możliwości skorzystania z ww. usługi. Jednym z celów Programu jest objęcie zasięgiem jak największej liczby jednostek samorządu terytorialnego, w których usługi asystencji osobistej osoby niepełnosprawnej jeszcze nie jest realizowana.</w:t>
      </w:r>
      <w:r>
        <w:rPr>
          <w:rFonts w:cs="Calibri" w:cstheme="minorHAnsi"/>
          <w:sz w:val="22"/>
          <w:szCs w:val="22"/>
        </w:rPr>
        <w:t xml:space="preserve"> </w:t>
      </w:r>
      <w:r>
        <w:rPr>
          <w:rFonts w:cs="Calibri" w:cstheme="minorHAnsi"/>
          <w:color w:val="000000" w:themeColor="text1"/>
          <w:sz w:val="24"/>
          <w:szCs w:val="24"/>
        </w:rPr>
        <w:t>Dlatego też konieczne jest ogłoszenie kolejnej edycji Programu realizowanego ze środków Funduszu Solidarnościowego, zwanego dalej „Funduszem”, która zapewni ciągłość świadczenia tej usługi.</w:t>
      </w:r>
    </w:p>
    <w:p>
      <w:pPr>
        <w:pStyle w:val="Nagwek1"/>
        <w:spacing w:lineRule="auto" w:line="259" w:before="240" w:after="240"/>
        <w:rPr>
          <w:rFonts w:ascii="Calibri" w:hAnsi="Calibri" w:eastAsia="Times New Roman" w:cs="Calibri" w:asciiTheme="minorHAnsi" w:cstheme="minorHAnsi" w:hAnsiTheme="minorHAnsi"/>
          <w:b/>
          <w:b/>
          <w:sz w:val="28"/>
          <w:szCs w:val="28"/>
        </w:rPr>
      </w:pPr>
      <w:bookmarkStart w:id="9" w:name="_Toc84328132"/>
      <w:bookmarkStart w:id="10" w:name="_Toc81227451"/>
      <w:bookmarkStart w:id="11" w:name="_Toc14868072"/>
      <w:bookmarkStart w:id="12" w:name="_Toc14779250"/>
      <w:bookmarkStart w:id="13" w:name="_Toc14163152"/>
      <w:bookmarkStart w:id="14" w:name="_Toc14098669"/>
      <w:bookmarkStart w:id="15" w:name="_Toc13231225"/>
      <w:bookmarkStart w:id="16" w:name="_Toc11157006"/>
      <w:bookmarkStart w:id="17" w:name="_Toc11156360"/>
      <w:r>
        <w:rPr>
          <w:rFonts w:eastAsia="Times New Roman" w:cs="Calibri" w:ascii="Calibri" w:hAnsi="Calibri" w:asciiTheme="minorHAnsi" w:cstheme="minorHAnsi" w:hAnsiTheme="minorHAnsi"/>
          <w:b/>
          <w:sz w:val="28"/>
          <w:szCs w:val="28"/>
        </w:rPr>
        <w:t>I. Podstawa prawna Programu</w:t>
      </w:r>
      <w:bookmarkEnd w:id="9"/>
      <w:bookmarkEnd w:id="10"/>
      <w:bookmarkEnd w:id="11"/>
      <w:bookmarkEnd w:id="12"/>
      <w:bookmarkEnd w:id="13"/>
      <w:bookmarkEnd w:id="14"/>
      <w:bookmarkEnd w:id="15"/>
      <w:bookmarkEnd w:id="16"/>
      <w:bookmarkEnd w:id="17"/>
    </w:p>
    <w:p>
      <w:pPr>
        <w:pStyle w:val="Normal"/>
        <w:spacing w:lineRule="auto" w:line="360" w:before="0" w:after="240"/>
        <w:rPr>
          <w:rFonts w:ascii="Calibri" w:hAnsi="Calibri" w:cs="Calibri" w:asciiTheme="minorHAnsi" w:cstheme="minorHAnsi" w:hAnsiTheme="minorHAnsi"/>
          <w:sz w:val="24"/>
          <w:szCs w:val="24"/>
        </w:rPr>
      </w:pPr>
      <w:r>
        <w:rPr>
          <w:rFonts w:cs="Calibri" w:cstheme="minorHAnsi"/>
          <w:sz w:val="24"/>
          <w:szCs w:val="24"/>
        </w:rPr>
        <w:t>Podstawą prawną Programu jest art. 7 ust. 5 oraz art. 13 ustawy z dnia 23 października 2018 r. o Funduszu Solidarnościowym (Dz. U. z 2020 r. poz. 1787).</w:t>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8" w:name="_Toc84328133"/>
      <w:bookmarkStart w:id="19" w:name="_Toc81227452"/>
      <w:bookmarkStart w:id="20" w:name="_Toc14868073"/>
      <w:bookmarkStart w:id="21" w:name="_Toc14779251"/>
      <w:bookmarkStart w:id="22" w:name="_Toc14163153"/>
      <w:bookmarkStart w:id="23" w:name="_Toc14098670"/>
      <w:bookmarkStart w:id="24" w:name="_Toc13231226"/>
      <w:bookmarkStart w:id="25" w:name="_Toc11157007"/>
      <w:bookmarkStart w:id="26" w:name="_Toc11156361"/>
      <w:bookmarkStart w:id="27" w:name="_Toc462299082"/>
      <w:r>
        <w:rPr>
          <w:rFonts w:eastAsia="Times New Roman" w:cs="Calibri" w:ascii="Calibri" w:hAnsi="Calibri" w:asciiTheme="minorHAnsi" w:cstheme="minorHAnsi" w:hAnsiTheme="minorHAnsi"/>
          <w:b/>
          <w:sz w:val="28"/>
          <w:szCs w:val="28"/>
        </w:rPr>
        <w:t xml:space="preserve">II. </w:t>
      </w:r>
      <w:bookmarkEnd w:id="27"/>
      <w:r>
        <w:rPr>
          <w:rFonts w:eastAsia="Times New Roman" w:cs="Calibri" w:ascii="Calibri" w:hAnsi="Calibri" w:asciiTheme="minorHAnsi" w:cstheme="minorHAnsi" w:hAnsiTheme="minorHAnsi"/>
          <w:b/>
          <w:sz w:val="28"/>
          <w:szCs w:val="28"/>
        </w:rPr>
        <w:t>Diagnoza sytuacji</w:t>
      </w:r>
      <w:bookmarkEnd w:id="18"/>
      <w:bookmarkEnd w:id="19"/>
      <w:bookmarkEnd w:id="20"/>
      <w:bookmarkEnd w:id="21"/>
      <w:bookmarkEnd w:id="22"/>
      <w:bookmarkEnd w:id="23"/>
      <w:bookmarkEnd w:id="24"/>
      <w:bookmarkEnd w:id="25"/>
      <w:bookmarkEnd w:id="26"/>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Program zapewni wsparcie w wykonywaniu codziennych czynności oraz funkcjonowaniu w życiu społecznym:</w:t>
      </w:r>
    </w:p>
    <w:p>
      <w:pPr>
        <w:pStyle w:val="ListParagraph"/>
        <w:numPr>
          <w:ilvl w:val="0"/>
          <w:numId w:val="19"/>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dzieciom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pPr>
        <w:pStyle w:val="ListParagraph"/>
        <w:numPr>
          <w:ilvl w:val="0"/>
          <w:numId w:val="1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osobom niepełnosprawnym posiadającym orzeczenie o niepełnosprawności:</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znacznym lub </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umiarkowanym lub </w:t>
      </w:r>
    </w:p>
    <w:p>
      <w:pPr>
        <w:pStyle w:val="ListParagraph"/>
        <w:numPr>
          <w:ilvl w:val="0"/>
          <w:numId w:val="29"/>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traktowane na równi do wyżej wymienionych </w:t>
      </w:r>
      <w:r>
        <w:rPr>
          <w:rFonts w:cs="Calibri" w:cstheme="minorHAnsi"/>
          <w:color w:val="000000"/>
          <w:sz w:val="24"/>
          <w:szCs w:val="24"/>
        </w:rPr>
        <w:t>zgodnie z art. 5 i art. 62 ustawy z dnia 27 sierpnia 1997 r. o rehabilitacji zawodowej i społecznej oraz zatrudnianiu osób niepełnosprawnych (Dz</w:t>
      </w:r>
      <w:r>
        <w:rPr>
          <w:rFonts w:cs="Calibri" w:cstheme="minorHAnsi"/>
          <w:color w:val="000000" w:themeColor="text1"/>
          <w:sz w:val="24"/>
          <w:szCs w:val="24"/>
        </w:rPr>
        <w:t>. U. z 2021 r. poz. 573).</w:t>
      </w:r>
    </w:p>
    <w:p>
      <w:pPr>
        <w:pStyle w:val="Normal"/>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Usługi asystencji osobistej wpisują się w jeden z głównych celów Funduszu, tj. wsparcie społeczne osób niepełnosprawnych. </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Celem rozpowszechnienia usług asystencji osobistej jest zwiększenie szans osób niepełnoprawnych na prowadzenie bardziej niezależnego/samodzielnego i aktywnego życia. Tak więc nadrzędnym celem usług asystencji osobistej powinno być dążenie do poprawy funkcjonowania osoby niepełnosprawnej w jej środowisku. </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Usługi asystencji osobistej są powszechną formą wsparcia osób niepełnosprawnych w takich krajach jak: Szwecja, Wielka Brytania, Austria, Dania, Francja, Hiszpania. </w:t>
      </w:r>
    </w:p>
    <w:p>
      <w:pPr>
        <w:pStyle w:val="Przypisdolny"/>
        <w:spacing w:lineRule="auto" w:line="360"/>
        <w:rPr/>
      </w:pPr>
      <w:r>
        <w:rPr>
          <w:rFonts w:cs="Calibri" w:cstheme="minorHAnsi"/>
          <w:sz w:val="24"/>
          <w:szCs w:val="24"/>
        </w:rPr>
        <w:t xml:space="preserve">Asystencja osobista jest kluczową usługą kierowaną do osób z niepełnosprawnościami, do której odnosi się art. 19 lit. b. Konwencji o prawach osób niepełnosprawnych, sporządzonej w Nowym Jorku dnia 13 grudnia 2006 r. (Dz. U. z 2012 r. poz. 1169, z późn. zm.). Kwestia m.in. potrzeby jej upowszechnienie znalazła swoje odzwierciedlenie w pierwszej w Polsce Strategii na rzecz Osób z Niepełnosprawnościami 2021‒2030, przyjętej uchwałą nr 27 Rady Ministrów z dnia 16 lutego 2021 r. w sprawie przyjęcia dokumentu Strategia na rzecz Osób z Niepełnosprawnościami 2021–2030 (M.P. poz. 218). </w:t>
      </w:r>
      <w:r>
        <w:rPr>
          <w:sz w:val="24"/>
          <w:szCs w:val="24"/>
        </w:rPr>
        <w:t>Zgodnie z jej założeniami zakres usług asystencji osobistej będzie ściśle dostosowany do potrzeb danej osoby z niepełnosprawnością, a sama usługa przez nią kierowana.</w:t>
      </w:r>
    </w:p>
    <w:p>
      <w:pPr>
        <w:pStyle w:val="Normal"/>
        <w:spacing w:lineRule="auto" w:line="360"/>
        <w:rPr>
          <w:rFonts w:ascii="Calibri" w:hAnsi="Calibri" w:cs="Calibri" w:asciiTheme="minorHAnsi" w:cstheme="minorHAnsi" w:hAnsiTheme="minorHAnsi"/>
          <w:b/>
          <w:b/>
          <w:sz w:val="24"/>
          <w:szCs w:val="24"/>
        </w:rPr>
      </w:pPr>
      <w:r>
        <w:rPr>
          <w:rFonts w:cs="Calibri" w:cstheme="minorHAnsi"/>
          <w:b/>
          <w:sz w:val="24"/>
          <w:szCs w:val="24"/>
        </w:rPr>
        <w:t>Dane liczbowe:</w:t>
      </w:r>
    </w:p>
    <w:p>
      <w:pPr>
        <w:pStyle w:val="Normal"/>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Według danych z Elektronicznego Krajowego Systemu Monitorowania i Orzekania o Niepełnosprawności (stan na dzień 30 czerwca 2021 r.) liczba:</w:t>
      </w:r>
    </w:p>
    <w:p>
      <w:pPr>
        <w:pStyle w:val="Normal"/>
        <w:tabs>
          <w:tab w:val="clear" w:pos="708"/>
          <w:tab w:val="left" w:pos="993"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1)</w:t>
        <w:tab/>
        <w:t>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wieku poniżej 16 lat wynosi 96 695;</w:t>
      </w:r>
    </w:p>
    <w:p>
      <w:pPr>
        <w:pStyle w:val="Normal"/>
        <w:tabs>
          <w:tab w:val="clear" w:pos="708"/>
          <w:tab w:val="left" w:pos="851"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2)</w:t>
        <w:tab/>
        <w:t>osób zaliczonych do znacznego lub umiarkowanego stopnia niepełnosprawności zgodnie z prawomocnym orzeczeniem lub wyrokiem sądu, z uwzględnieniem stopnia niepełnosprawności osób pomiędzy 16. a 18. rokiem życia wynosi łącznie 66 181;</w:t>
      </w:r>
    </w:p>
    <w:p>
      <w:pPr>
        <w:pStyle w:val="Normal"/>
        <w:tabs>
          <w:tab w:val="clear" w:pos="708"/>
          <w:tab w:val="left" w:pos="567"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w:t>
        <w:tab/>
        <w:t>osób zaliczonych do znacznego stopnia niepełnosprawności, zgodnie z prawomocnym orzeczeniem lub wyrokiem sądu, z uwzględnieniem stopnia niepełnosprawności osób po 18. roku życia wynosi 851 788;</w:t>
      </w:r>
    </w:p>
    <w:p>
      <w:pPr>
        <w:pStyle w:val="Normal"/>
        <w:tabs>
          <w:tab w:val="clear" w:pos="708"/>
          <w:tab w:val="left" w:pos="426"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4)</w:t>
        <w:tab/>
        <w:t>osób zaliczonych do umiarkowanego stopnia niepełnosprawności, zgodnie z prawomocnym orzeczeniem lub wyrokiem sądu, z uwzględnieniem stopnia niepełnosprawności osób po 18. roku życia wynosi 1 341 445.</w:t>
      </w:r>
    </w:p>
    <w:p>
      <w:pPr>
        <w:pStyle w:val="Normal"/>
        <w:tabs>
          <w:tab w:val="clear" w:pos="708"/>
          <w:tab w:val="left" w:pos="426" w:leader="none"/>
        </w:tabs>
        <w:spacing w:lineRule="auto" w:line="360"/>
        <w:ind w:left="567" w:hanging="283"/>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28" w:name="_Toc84328134"/>
      <w:bookmarkStart w:id="29" w:name="_Toc81227453"/>
      <w:bookmarkStart w:id="30" w:name="_Toc14868074"/>
      <w:bookmarkStart w:id="31" w:name="_Toc14779252"/>
      <w:bookmarkStart w:id="32" w:name="_Toc14163154"/>
      <w:bookmarkStart w:id="33" w:name="_Toc14098671"/>
      <w:bookmarkStart w:id="34" w:name="_Toc13231227"/>
      <w:bookmarkStart w:id="35" w:name="_Toc11157008"/>
      <w:bookmarkStart w:id="36" w:name="_Toc11156362"/>
      <w:bookmarkStart w:id="37" w:name="_Toc462299083"/>
      <w:r>
        <w:rPr>
          <w:rFonts w:eastAsia="Times New Roman" w:cs="Calibri" w:ascii="Calibri" w:hAnsi="Calibri" w:asciiTheme="minorHAnsi" w:cstheme="minorHAnsi" w:hAnsiTheme="minorHAnsi"/>
          <w:b/>
          <w:sz w:val="28"/>
          <w:szCs w:val="28"/>
        </w:rPr>
        <w:t xml:space="preserve">III. </w:t>
      </w:r>
      <w:bookmarkEnd w:id="37"/>
      <w:r>
        <w:rPr>
          <w:rFonts w:eastAsia="Times New Roman" w:cs="Calibri" w:ascii="Calibri" w:hAnsi="Calibri" w:asciiTheme="minorHAnsi" w:cstheme="minorHAnsi" w:hAnsiTheme="minorHAnsi"/>
          <w:b/>
          <w:sz w:val="28"/>
          <w:szCs w:val="28"/>
        </w:rPr>
        <w:t>Cele i adresaci Programu</w:t>
      </w:r>
      <w:bookmarkEnd w:id="28"/>
      <w:bookmarkEnd w:id="29"/>
      <w:bookmarkEnd w:id="30"/>
      <w:bookmarkEnd w:id="31"/>
      <w:bookmarkEnd w:id="32"/>
      <w:bookmarkEnd w:id="33"/>
      <w:bookmarkEnd w:id="34"/>
      <w:bookmarkEnd w:id="35"/>
      <w:bookmarkEnd w:id="36"/>
      <w:r>
        <w:rPr>
          <w:rFonts w:eastAsia="Times New Roman" w:cs="Calibri" w:ascii="Calibri" w:hAnsi="Calibri" w:asciiTheme="minorHAnsi" w:cstheme="minorHAnsi" w:hAnsiTheme="minorHAnsi"/>
          <w:b/>
          <w:sz w:val="28"/>
          <w:szCs w:val="28"/>
        </w:rPr>
        <w:t xml:space="preserve">  </w:t>
      </w:r>
    </w:p>
    <w:p>
      <w:pPr>
        <w:pStyle w:val="Normal"/>
        <w:spacing w:lineRule="auto" w:line="360"/>
        <w:ind w:right="-1" w:hanging="0"/>
        <w:rPr>
          <w:rFonts w:ascii="Calibri" w:hAnsi="Calibri" w:cs="Calibri" w:asciiTheme="minorHAnsi" w:cstheme="minorHAnsi" w:hAnsiTheme="minorHAnsi"/>
          <w:sz w:val="24"/>
          <w:szCs w:val="24"/>
        </w:rPr>
      </w:pPr>
      <w:r>
        <w:rPr>
          <w:rFonts w:cs="Calibri" w:cstheme="minorHAnsi"/>
          <w:color w:val="000000" w:themeColor="text1"/>
          <w:sz w:val="24"/>
          <w:szCs w:val="24"/>
        </w:rPr>
        <w:t xml:space="preserve">Głównym celem Programu jest wprowadzenie usług asystenta jako formy ogólnodostępnego wsparcia w wykonywaniu codziennych czynności oraz funkcjonowaniu w życiu społecznym, </w:t>
      </w:r>
      <w:r>
        <w:rPr>
          <w:rFonts w:cs="Calibri" w:cstheme="minorHAnsi"/>
          <w:sz w:val="24"/>
          <w:szCs w:val="24"/>
        </w:rPr>
        <w:t>której adresatami są:</w:t>
      </w:r>
    </w:p>
    <w:p>
      <w:pPr>
        <w:pStyle w:val="ListParagraph"/>
        <w:numPr>
          <w:ilvl w:val="0"/>
          <w:numId w:val="16"/>
        </w:numPr>
        <w:spacing w:lineRule="auto" w:line="360" w:before="0" w:after="0"/>
        <w:ind w:left="720" w:right="-1" w:hanging="360"/>
        <w:contextualSpacing/>
        <w:rPr>
          <w:rFonts w:ascii="Calibri" w:hAnsi="Calibri" w:cs="Calibri" w:asciiTheme="minorHAnsi" w:cstheme="minorHAnsi" w:hAnsiTheme="minorHAnsi"/>
          <w:sz w:val="24"/>
          <w:szCs w:val="24"/>
        </w:rPr>
      </w:pPr>
      <w:r>
        <w:rPr>
          <w:rFonts w:cs="Calibri" w:cstheme="minorHAnsi"/>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Pr>
          <w:rFonts w:cs="Calibri" w:cstheme="minorHAnsi"/>
          <w:sz w:val="24"/>
          <w:szCs w:val="24"/>
          <w:vertAlign w:val="superscript"/>
        </w:rPr>
        <w:t xml:space="preserve"> </w:t>
      </w:r>
      <w:r>
        <w:rPr>
          <w:rFonts w:cs="Calibri" w:cstheme="minorHAnsi"/>
          <w:sz w:val="24"/>
          <w:szCs w:val="24"/>
        </w:rPr>
        <w:t>oraz</w:t>
      </w:r>
    </w:p>
    <w:p>
      <w:pPr>
        <w:pStyle w:val="Annotationtext"/>
        <w:numPr>
          <w:ilvl w:val="0"/>
          <w:numId w:val="16"/>
        </w:numPr>
        <w:spacing w:lineRule="auto" w:line="360"/>
        <w:rPr>
          <w:rFonts w:ascii="Calibri" w:hAnsi="Calibri" w:cs="Calibri" w:asciiTheme="minorHAnsi" w:cstheme="minorHAnsi" w:hAnsiTheme="minorHAnsi"/>
          <w:sz w:val="24"/>
          <w:szCs w:val="24"/>
        </w:rPr>
      </w:pPr>
      <w:r>
        <w:rPr>
          <w:rFonts w:cs="Calibri" w:cstheme="minorHAnsi"/>
          <w:sz w:val="24"/>
          <w:szCs w:val="24"/>
        </w:rPr>
        <w:t>osoby niepełnosprawne posiadające orzeczenie o niepełnosprawności:</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sz w:val="24"/>
          <w:szCs w:val="24"/>
        </w:rPr>
        <w:t xml:space="preserve">o stopniu znacznym </w:t>
      </w:r>
      <w:r>
        <w:rPr>
          <w:rFonts w:cs="Calibri" w:cstheme="minorHAnsi"/>
          <w:color w:val="000000" w:themeColor="text1"/>
          <w:sz w:val="24"/>
          <w:szCs w:val="24"/>
        </w:rPr>
        <w:t xml:space="preserve">lub </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o stopniu umiarkowanym albo </w:t>
      </w:r>
    </w:p>
    <w:p>
      <w:pPr>
        <w:pStyle w:val="Annotationtext"/>
        <w:numPr>
          <w:ilvl w:val="0"/>
          <w:numId w:val="28"/>
        </w:numPr>
        <w:spacing w:lineRule="auto" w:line="360"/>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traktowane na równi do wymienionych w lit. a i b.</w:t>
      </w:r>
      <w:r>
        <w:rPr>
          <w:rFonts w:cs="Calibri" w:cstheme="minorHAnsi"/>
          <w:sz w:val="24"/>
          <w:szCs w:val="24"/>
        </w:rPr>
        <w:t xml:space="preserve"> </w:t>
      </w:r>
    </w:p>
    <w:p>
      <w:pPr>
        <w:pStyle w:val="Normal"/>
        <w:spacing w:lineRule="auto" w:line="360" w:before="0" w:after="0"/>
        <w:ind w:right="-1" w:hanging="0"/>
        <w:contextualSpacing/>
        <w:jc w:val="both"/>
        <w:rPr>
          <w:rFonts w:ascii="Calibri" w:hAnsi="Calibri" w:cs="Calibri" w:asciiTheme="minorHAnsi" w:cstheme="minorHAnsi" w:hAnsiTheme="minorHAnsi"/>
          <w:color w:val="000000" w:themeColor="text1"/>
          <w:spacing w:val="6"/>
          <w:w w:val="105"/>
          <w:sz w:val="24"/>
          <w:szCs w:val="24"/>
        </w:rPr>
      </w:pPr>
      <w:r>
        <w:rPr>
          <w:rFonts w:cs="Calibri" w:cstheme="minorHAnsi"/>
          <w:spacing w:val="6"/>
          <w:w w:val="105"/>
          <w:sz w:val="24"/>
          <w:szCs w:val="24"/>
        </w:rPr>
        <w:t>W ramach Programu planuje się wprowadzić usługi asystenta osobistego dla osób niepełnosprawnych w łącznej liczbie nie mniejszej niż 4000 osób.</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Dodatkowym założeniem jest, aby minimum 70% uczestników Programu stanowiły osoby wymagające wysokiego poziomu wsparcia (tj. osoby ze znacznym stopniem niepełnosprawności oraz dzieci niepełnosprawne z orzeczeniem o niepełnosprawności łącznie ze wskazaniami w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 w tym osoby z niepełnosprawnościami sprzężonymi i trudnościami związanymi z mobilnością i komunikacją.</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38" w:name="_Toc84328135"/>
      <w:bookmarkStart w:id="39" w:name="_Toc81227454"/>
      <w:bookmarkStart w:id="40" w:name="_Toc14868076"/>
      <w:bookmarkStart w:id="41" w:name="_Toc14779254"/>
      <w:bookmarkStart w:id="42" w:name="_Toc14163156"/>
      <w:bookmarkStart w:id="43" w:name="_Toc14098673"/>
      <w:bookmarkStart w:id="44" w:name="_Toc13231229"/>
      <w:bookmarkStart w:id="45" w:name="_Toc11157010"/>
      <w:bookmarkStart w:id="46" w:name="_Toc11156364"/>
      <w:bookmarkStart w:id="47" w:name="_Toc462299084"/>
      <w:r>
        <w:rPr>
          <w:rFonts w:eastAsia="Times New Roman" w:cs="Calibri" w:ascii="Calibri" w:hAnsi="Calibri" w:asciiTheme="minorHAnsi" w:cstheme="minorHAnsi" w:hAnsiTheme="minorHAnsi"/>
          <w:b/>
          <w:sz w:val="28"/>
          <w:szCs w:val="28"/>
        </w:rPr>
        <w:t xml:space="preserve">IV. </w:t>
      </w:r>
      <w:bookmarkStart w:id="48" w:name="_Toc14163157"/>
      <w:bookmarkStart w:id="49" w:name="_Toc14098674"/>
      <w:bookmarkStart w:id="50" w:name="_Toc13231230"/>
      <w:bookmarkStart w:id="51" w:name="_Toc11157011"/>
      <w:bookmarkStart w:id="52" w:name="_Toc11156365"/>
      <w:bookmarkStart w:id="53" w:name="_Toc462299085"/>
      <w:bookmarkEnd w:id="42"/>
      <w:bookmarkEnd w:id="43"/>
      <w:bookmarkEnd w:id="44"/>
      <w:bookmarkEnd w:id="45"/>
      <w:bookmarkEnd w:id="46"/>
      <w:bookmarkEnd w:id="47"/>
      <w:r>
        <w:rPr>
          <w:rFonts w:eastAsia="Times New Roman" w:cs="Calibri" w:ascii="Calibri" w:hAnsi="Calibri" w:asciiTheme="minorHAnsi" w:cstheme="minorHAnsi" w:hAnsiTheme="minorHAnsi"/>
          <w:b/>
          <w:sz w:val="28"/>
          <w:szCs w:val="28"/>
        </w:rPr>
        <w:t>Zakres podmiotowy i przedmiotowy P</w:t>
      </w:r>
      <w:bookmarkEnd w:id="52"/>
      <w:bookmarkEnd w:id="53"/>
      <w:r>
        <w:rPr>
          <w:rFonts w:eastAsia="Times New Roman" w:cs="Calibri" w:ascii="Calibri" w:hAnsi="Calibri" w:asciiTheme="minorHAnsi" w:cstheme="minorHAnsi" w:hAnsiTheme="minorHAnsi"/>
          <w:b/>
          <w:sz w:val="28"/>
          <w:szCs w:val="28"/>
        </w:rPr>
        <w:t>rogramu</w:t>
      </w:r>
      <w:bookmarkEnd w:id="38"/>
      <w:bookmarkEnd w:id="39"/>
      <w:bookmarkEnd w:id="40"/>
      <w:bookmarkEnd w:id="41"/>
      <w:bookmarkEnd w:id="48"/>
      <w:bookmarkEnd w:id="49"/>
      <w:bookmarkEnd w:id="50"/>
      <w:bookmarkEnd w:id="51"/>
      <w:r>
        <w:rPr>
          <w:rFonts w:eastAsia="Times New Roman" w:cs="Calibri" w:ascii="Calibri" w:hAnsi="Calibri" w:asciiTheme="minorHAnsi" w:cstheme="minorHAnsi" w:hAnsiTheme="minorHAnsi"/>
          <w:b/>
          <w:sz w:val="28"/>
          <w:szCs w:val="28"/>
        </w:rPr>
        <w:t xml:space="preserve">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Program zapewnia usługi asystencji osobistej osobie niepełnosprawnej wykonywaną/ świadczoną przez asystenta osobistego osoby niepełnosprawnej, zwanego dalej „asystentem”.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Program zakłada wsparcie finansowe dla gmin/powiatów w zakresie świadczenia usług asystencji osobistej, która będzie dostosowana do potrzeb osoby niepełnosprawnej, mieszkającej na terenie danej gminy/powiatu.</w:t>
      </w:r>
    </w:p>
    <w:p>
      <w:pPr>
        <w:pStyle w:val="ListParagraph"/>
        <w:numPr>
          <w:ilvl w:val="0"/>
          <w:numId w:val="2"/>
        </w:numPr>
        <w:tabs>
          <w:tab w:val="clear" w:pos="708"/>
          <w:tab w:val="left" w:pos="284" w:leader="none"/>
        </w:tabs>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Usługi asystencji osobistej mogą świadczyć:</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sz w:val="24"/>
          <w:szCs w:val="24"/>
        </w:rPr>
      </w:pPr>
      <w:r>
        <w:rPr>
          <w:rFonts w:cs="Calibri" w:cstheme="minorHAnsi"/>
          <w:sz w:val="24"/>
          <w:szCs w:val="24"/>
        </w:rPr>
        <w:t>osoby posiadające dokument potwierdzający uzyskanie kwalifikacji w następujących kierunkach: asystent osoby niepełnosprawnej</w:t>
      </w:r>
      <w:r>
        <w:rPr>
          <w:rStyle w:val="Zakotwiczenieprzypisudolnego"/>
          <w:rFonts w:cs="Calibri" w:cstheme="minorHAnsi"/>
          <w:vertAlign w:val="superscript"/>
        </w:rPr>
        <w:footnoteReference w:id="2"/>
      </w:r>
      <w:r>
        <w:rPr>
          <w:rFonts w:cs="Calibri" w:cstheme="minorHAnsi"/>
          <w:sz w:val="24"/>
          <w:szCs w:val="24"/>
          <w:vertAlign w:val="superscript"/>
        </w:rPr>
        <w:t>)</w:t>
      </w:r>
      <w:r>
        <w:rPr>
          <w:rFonts w:cs="Calibri" w:cstheme="minorHAnsi"/>
          <w:sz w:val="24"/>
          <w:szCs w:val="24"/>
        </w:rPr>
        <w:t xml:space="preserve">, opiekun osoby starszej, opiekun medyczny, </w:t>
      </w:r>
      <w:r>
        <w:rPr>
          <w:rFonts w:cs="Calibri" w:cstheme="minorHAnsi"/>
          <w:color w:val="000000" w:themeColor="text1"/>
          <w:sz w:val="24"/>
          <w:szCs w:val="24"/>
        </w:rPr>
        <w:t xml:space="preserve">pedagog, psycholog, terapeuta zajęciowy, pielęgniarka, fizjoterapeuta; </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color w:val="0070C0"/>
          <w:sz w:val="24"/>
          <w:szCs w:val="24"/>
        </w:rPr>
      </w:pPr>
      <w:r>
        <w:rPr>
          <w:rFonts w:cs="Calibri" w:cstheme="minorHAnsi"/>
          <w:sz w:val="24"/>
          <w:szCs w:val="24"/>
        </w:rPr>
        <w:t>osoby posiadające co najmniej 6-miesięczne, udokumentowane doświadczenie w udzielaniu bezpośredniej pomocy osobom niepełnosprawnym np. doświadczenie zawodowe, udzielanie wsparcia osobom niepełnosprawnych w formie wolontariatu;</w:t>
      </w:r>
    </w:p>
    <w:p>
      <w:pPr>
        <w:pStyle w:val="ListParagraph"/>
        <w:numPr>
          <w:ilvl w:val="0"/>
          <w:numId w:val="22"/>
        </w:numPr>
        <w:tabs>
          <w:tab w:val="clear" w:pos="708"/>
          <w:tab w:val="left" w:pos="1560" w:leader="none"/>
        </w:tabs>
        <w:spacing w:lineRule="auto" w:line="360"/>
        <w:rPr>
          <w:rFonts w:ascii="Calibri" w:hAnsi="Calibri" w:cs="Calibri" w:asciiTheme="minorHAnsi" w:cstheme="minorHAnsi" w:hAnsiTheme="minorHAnsi"/>
          <w:color w:val="0070C0"/>
          <w:sz w:val="24"/>
          <w:szCs w:val="24"/>
        </w:rPr>
      </w:pPr>
      <w:r>
        <w:rPr>
          <w:rFonts w:cs="Calibri" w:cstheme="minorHAnsi"/>
          <w:sz w:val="24"/>
          <w:szCs w:val="24"/>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pPr>
        <w:pStyle w:val="ListParagraph"/>
        <w:numPr>
          <w:ilvl w:val="0"/>
          <w:numId w:val="2"/>
        </w:numPr>
        <w:tabs>
          <w:tab w:val="clear" w:pos="708"/>
          <w:tab w:val="left" w:pos="1560" w:leader="none"/>
        </w:tabs>
        <w:spacing w:lineRule="auto" w:line="360"/>
        <w:ind w:left="284" w:hanging="284"/>
        <w:rPr>
          <w:sz w:val="24"/>
          <w:szCs w:val="24"/>
        </w:rPr>
      </w:pPr>
      <w:r>
        <w:rPr>
          <w:rFonts w:cs="Calibri" w:cstheme="minorHAnsi"/>
          <w:color w:val="000000" w:themeColor="text1"/>
          <w:sz w:val="24"/>
          <w:szCs w:val="24"/>
        </w:rPr>
        <w:t>W przypadku braku możliwości złożenia przez osobę niepełnosprawną oświadczenia w formie, o której mowa wyżej, realizator Programu przyjmuje ustne oświadczenie osoby niepełnosprawnej ubiegającej się o usługi asystencji osobistej, z którego sporządza protokół przyjęcia ustnego oświadczenia.</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Na potrzeby realizacji Programu, za członków rodziny uznać należy rodziców i dzieci, rodzeństwo, wnuki, dziadków, teściów, macochę, ojczyma oraz inne osoby pozostające we wspólnym gospodarstwie domowym z uczestnikiem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Asystentem może być osoba wskazana przez uczestnika Programu. Jeżeli asystent nie zostanie wskazany przez uczestnika Programu, wskazuje go gmina/powiat, z uwzględnieniem postanowień ust. 3 pkt 1 i 2.</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 przypadku gdy usługi asystencji osobistej będą świadczone na rzecz dzieci niepełnosprawnych do 16. roku życia z orzeczeniem o niepełnosprawności łącznie z ww. wskazaniami, wymagane jest także:</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zaświadczenie o niekaralności;</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pisemna informacja o niefigurowaniu w Rejestrze Sprawców Przestępstw na Tle Seksualnym;</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pisemna akceptacja osoby asystenta ze strony rodzica lub opiekuna prawnego dziecka z niepełnosprawnością.</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Gmina/powiat przyznaje usługi asystencji osobistej na podstawie Karty zgłoszenia do Programu „Asystent osobisty osoby z niepełnosprawnej” – edycja 2022, której wzór stanowi załącznik nr 8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Usługi asystencji osobistej mogą w szczególności polegać na pomocy asystenta w:</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wykonywaniu czynności dnia codziennego dla uczestnika Programu</w:t>
      </w:r>
      <w:r>
        <w:rPr>
          <w:rFonts w:cs="Calibri" w:cstheme="minorHAnsi"/>
          <w:color w:val="000000" w:themeColor="text1"/>
          <w:sz w:val="24"/>
          <w:szCs w:val="24"/>
        </w:rPr>
        <w:t>;</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wyjściu, powrocie lub dojazdach z uczestnikiem Programu w wybrane przez uczestnika miejsca;</w:t>
      </w:r>
    </w:p>
    <w:p>
      <w:pPr>
        <w:pStyle w:val="ListParagraph"/>
        <w:numPr>
          <w:ilvl w:val="0"/>
          <w:numId w:val="3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załatwianiu spraw urzędowych;</w:t>
      </w:r>
    </w:p>
    <w:p>
      <w:pPr>
        <w:pStyle w:val="ListParagraph"/>
        <w:numPr>
          <w:ilvl w:val="0"/>
          <w:numId w:val="30"/>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themeColor="text1"/>
          <w:sz w:val="24"/>
          <w:szCs w:val="24"/>
        </w:rPr>
        <w:t>korzystaniu z dóbr kultury (np. muzeum, teatr, kino, galerie sztuki, wystawy)</w:t>
      </w:r>
      <w:r>
        <w:rPr>
          <w:rFonts w:cs="Calibri" w:cstheme="minorHAnsi"/>
          <w:sz w:val="24"/>
          <w:szCs w:val="24"/>
        </w:rPr>
        <w:t>;</w:t>
      </w:r>
    </w:p>
    <w:p>
      <w:pPr>
        <w:pStyle w:val="ListParagraph"/>
        <w:numPr>
          <w:ilvl w:val="0"/>
          <w:numId w:val="30"/>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zaprowadzaniu dzieci z orzeczeniem o niepełnosprawności do placówki oświatowej lub przyprowadzaniu ich z niej.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Usługa asystencji osobistej na terenie szkoły może być realizowana wyłącznie w przypadku, gdy szkoła nie zapewnia tej usługi.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Zakres czynności w ramach usług asystencji osobistej zawiera załącznik nr 9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 xml:space="preserve">Zadaniem asystenta nie jest podejmowanie decyzji za osobę niepełnosprawną, a jedynie pomaganie bądź wspieranie jej w realizacji osobistych zamiarów.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sz w:val="24"/>
          <w:szCs w:val="24"/>
        </w:rPr>
        <w:t>Asystent realizuje usługi na rzecz osoby niepełnosprawnej i w skutek jej decyzji lub decyzji opiekuna prawnego, a nie dla poszczególnych członków rodzin osoby niepełnosprawnej.</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 xml:space="preserve">W godzinach realizacji usług asystencji osobistej nie mogą być świadczone usługi opiekuńcze lub specjalistyczne usługi opiekuńcze, o których mowa w ustawie z dnia 12 marca 2004 r. o pomocy społecznej (Dz. U. z 2020 r. poz. 1876, z późn. zm.), inne usługi finansowane w ramach Funduszu lub usługi obejmujące analogiczne wsparcie, o którym mowa w ust. 9, finansowane z innych źródeł.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 xml:space="preserve">Czas trwania usług asystencji osobistej − </w:t>
      </w:r>
      <w:r>
        <w:rPr>
          <w:rFonts w:cs="Calibri" w:cstheme="minorHAnsi"/>
          <w:sz w:val="24"/>
          <w:szCs w:val="24"/>
        </w:rPr>
        <w:t xml:space="preserve">usługi asystenta mogą być realizowane przez 24 godziny na dobę, 7 dni w tygodniu, </w:t>
      </w:r>
      <w:r>
        <w:rPr>
          <w:rFonts w:cs="Calibri" w:cstheme="minorHAnsi"/>
          <w:color w:val="000000"/>
          <w:sz w:val="24"/>
          <w:szCs w:val="24"/>
        </w:rPr>
        <w:t>z zastrzeżeniem stosowania w tym zakresie przepisów i norm, o których mowa w Kodeksie pracy.</w:t>
      </w:r>
      <w:r>
        <w:rPr>
          <w:rFonts w:cs="Calibri" w:cstheme="minorHAnsi"/>
          <w:strike/>
          <w:sz w:val="24"/>
          <w:szCs w:val="24"/>
        </w:rPr>
        <w:t xml:space="preserve">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powiększone łącznie o 90 min. trwania.</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strike/>
          <w:sz w:val="24"/>
          <w:szCs w:val="24"/>
        </w:rPr>
      </w:pPr>
      <w:r>
        <w:rPr>
          <w:rFonts w:cs="Calibri" w:cstheme="minorHAnsi"/>
          <w:color w:val="000000" w:themeColor="text1"/>
          <w:sz w:val="24"/>
          <w:szCs w:val="24"/>
        </w:rPr>
        <w:t>Rodzaj usług i ich zakres godzinowy powinny być uzależnione od osobistej sytuacji osoby niepełnosprawnej, z uwzględnieniem stopnia i rodzaju niepełnosprawności uczestnika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Limit godzin usług asystencji osobistej finansowanych ze środków Funduszu przypadających na 1 uczestnika wynosi nie więcej niż:</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840 godzin rocznie dla osób niepełnosprawnych posiadających orzeczenie o znacznym stopniu niepełnosprawności z niepełnosprawnością sprzężoną;</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720 godzin rocznie dla osób niepełnosprawnych posiadających orzeczenie o znacznym stopniu niepełnosprawności;</w:t>
      </w:r>
    </w:p>
    <w:p>
      <w:pPr>
        <w:pStyle w:val="ListParagraph"/>
        <w:numPr>
          <w:ilvl w:val="0"/>
          <w:numId w:val="20"/>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360 godzin rocznie dla:</w:t>
      </w:r>
    </w:p>
    <w:p>
      <w:pPr>
        <w:pStyle w:val="ListParagraph"/>
        <w:numPr>
          <w:ilvl w:val="0"/>
          <w:numId w:val="21"/>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osób niepełnosprawnych posiadających orzeczenie o umiarkowanym stopniu niepełnosprawności,</w:t>
      </w:r>
    </w:p>
    <w:p>
      <w:pPr>
        <w:pStyle w:val="ListParagraph"/>
        <w:numPr>
          <w:ilvl w:val="0"/>
          <w:numId w:val="21"/>
        </w:numPr>
        <w:spacing w:lineRule="auto" w:line="360" w:before="0" w:after="0"/>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dzieci do 16. roku życia </w:t>
      </w:r>
      <w:r>
        <w:rPr>
          <w:rFonts w:cs="Calibri" w:cstheme="minorHAnsi"/>
          <w:sz w:val="24"/>
          <w:szCs w:val="24"/>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Uczestnik Programu za usługi asystencji osobistej nie ponosi odpłatności.</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O środki Funduszu na realizację zadań w ramach Programu mogą ubiegać się jednostki samorządu terytorialnego szczebla gminnego i powiatowego.</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 xml:space="preserve">W ramach Programu gmina/powiat może otrzymać wsparcie finansowe do wysokości 100% kosztów realizacji usług asystencji osobistej asystenta.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sz w:val="24"/>
          <w:szCs w:val="24"/>
        </w:rPr>
        <w:t xml:space="preserve">Koszt jednej godziny zegarowej wynagrodzenia z tytułu świadczenia usług asystencji osobistej nie może przekroczyć 40 zł brutto wraz z kosztami pracodawcy. </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Gmina/powiat dokonuje rozliczenia usług asystencji osobistej na podstawie wypełnionej Karty realizacji usług asystenckich, której wzór stanowi załącznik nr 10 do Programu.</w:t>
      </w:r>
    </w:p>
    <w:p>
      <w:pPr>
        <w:pStyle w:val="ListParagraph"/>
        <w:numPr>
          <w:ilvl w:val="0"/>
          <w:numId w:val="2"/>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W ramach Programu gmina/powiat może otrzymać środki z Funduszu na realizację usług asystencji osobistej, jeżeli:</w:t>
      </w:r>
    </w:p>
    <w:p>
      <w:pPr>
        <w:pStyle w:val="Stopka"/>
        <w:numPr>
          <w:ilvl w:val="0"/>
          <w:numId w:val="17"/>
        </w:numPr>
        <w:spacing w:lineRule="auto" w:line="360"/>
        <w:ind w:left="567" w:hanging="283"/>
        <w:rPr>
          <w:rFonts w:ascii="Calibri" w:hAnsi="Calibri" w:cs="Calibri" w:asciiTheme="minorHAnsi" w:cstheme="minorHAnsi" w:hAnsiTheme="minorHAnsi"/>
          <w:sz w:val="24"/>
          <w:szCs w:val="24"/>
        </w:rPr>
      </w:pPr>
      <w:r>
        <w:rPr>
          <w:rFonts w:cs="Calibri" w:cstheme="minorHAnsi"/>
          <w:sz w:val="24"/>
          <w:szCs w:val="24"/>
        </w:rPr>
        <w:t>usługi realizuje samodzielnie, tj. przez pracowników ośrodka pomocy społecznej, urzędu gminy/powiatu lub gminnych/powiatowych jednostek organizacyjnych (zatrudnionych na podstawie umowy o pracę);</w:t>
      </w:r>
    </w:p>
    <w:p>
      <w:pPr>
        <w:pStyle w:val="Normal"/>
        <w:numPr>
          <w:ilvl w:val="0"/>
          <w:numId w:val="17"/>
        </w:numPr>
        <w:spacing w:lineRule="auto" w:line="360"/>
        <w:ind w:left="567" w:hanging="283"/>
        <w:rPr>
          <w:rFonts w:ascii="Calibri" w:hAnsi="Calibri" w:cs="Calibri" w:asciiTheme="minorHAnsi" w:cstheme="minorHAnsi" w:hAnsiTheme="minorHAnsi"/>
          <w:sz w:val="24"/>
          <w:szCs w:val="24"/>
        </w:rPr>
      </w:pPr>
      <w:r>
        <w:rPr>
          <w:rFonts w:cs="Calibri" w:cstheme="minorHAnsi"/>
          <w:sz w:val="24"/>
          <w:szCs w:val="24"/>
        </w:rPr>
        <w:t>zleca realizację usług organizacjom pozarządowym, o których mowa w art. 3 ust. 2 ustawy z dnia 24 kwietnia 2003 r. o działalności pożytku publicznego i wolontariacie (Dz. U. z 2020 r. poz. 1057, z późn. zm.), oraz podmiotom, o których mowa w art. 3 ust. 3 tej ustawy;</w:t>
      </w:r>
    </w:p>
    <w:p>
      <w:pPr>
        <w:pStyle w:val="ListParagraph"/>
        <w:numPr>
          <w:ilvl w:val="0"/>
          <w:numId w:val="17"/>
        </w:numPr>
        <w:spacing w:lineRule="auto" w:line="360"/>
        <w:ind w:left="558" w:hanging="274"/>
        <w:rPr>
          <w:rFonts w:ascii="Calibri" w:hAnsi="Calibri" w:cs="Calibri" w:asciiTheme="minorHAnsi" w:cstheme="minorHAnsi" w:hAnsiTheme="minorHAnsi"/>
          <w:sz w:val="24"/>
          <w:szCs w:val="24"/>
        </w:rPr>
      </w:pPr>
      <w:r>
        <w:rPr>
          <w:rFonts w:cs="Calibri" w:cstheme="minorHAnsi"/>
          <w:sz w:val="24"/>
          <w:szCs w:val="24"/>
        </w:rPr>
        <w:t>zatrudnia asystentów wskazanych przez uczestnika Programu;</w:t>
      </w:r>
    </w:p>
    <w:p>
      <w:pPr>
        <w:pStyle w:val="ListParagraph"/>
        <w:numPr>
          <w:ilvl w:val="0"/>
          <w:numId w:val="17"/>
        </w:numPr>
        <w:spacing w:lineRule="auto" w:line="360"/>
        <w:ind w:left="558" w:hanging="274"/>
        <w:rPr>
          <w:rFonts w:ascii="Calibri" w:hAnsi="Calibri" w:cs="Calibri" w:asciiTheme="minorHAnsi" w:cstheme="minorHAnsi" w:hAnsiTheme="minorHAnsi"/>
          <w:sz w:val="24"/>
          <w:szCs w:val="24"/>
        </w:rPr>
      </w:pPr>
      <w:r>
        <w:rPr>
          <w:sz w:val="24"/>
          <w:szCs w:val="24"/>
        </w:rPr>
        <w:t>kupuje usługi asystenckie od podmiotów sektora prywatnego, z zastrzeżeniem klauzul społecznych.</w:t>
      </w:r>
    </w:p>
    <w:p>
      <w:pPr>
        <w:pStyle w:val="ListParagraph"/>
        <w:numPr>
          <w:ilvl w:val="0"/>
          <w:numId w:val="2"/>
        </w:numPr>
        <w:spacing w:lineRule="auto" w:line="360"/>
        <w:ind w:left="284" w:hanging="284"/>
        <w:rPr>
          <w:rFonts w:ascii="Calibri" w:hAnsi="Calibri" w:cs="Calibri" w:asciiTheme="minorHAnsi" w:cstheme="minorHAnsi" w:hAnsiTheme="minorHAnsi"/>
          <w:sz w:val="24"/>
          <w:szCs w:val="24"/>
        </w:rPr>
      </w:pPr>
      <w:bookmarkStart w:id="54" w:name="_Toc462299089"/>
      <w:r>
        <w:rPr>
          <w:rFonts w:cs="Calibri" w:cstheme="minorHAnsi"/>
          <w:sz w:val="24"/>
          <w:szCs w:val="24"/>
        </w:rPr>
        <w:t xml:space="preserve">Realizator zobowiązany jest dokonywać doraźnych kontroli i monitorowania świadczonych usług asystencji osobistej. Czynności, o których mowa wyżej, dokonywane są bezpośrednio w miejscu realizacji usług. </w:t>
      </w:r>
    </w:p>
    <w:p>
      <w:pPr>
        <w:pStyle w:val="ListParagraph"/>
        <w:spacing w:lineRule="auto" w:line="360"/>
        <w:ind w:left="284" w:hanging="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55" w:name="_Toc462299089"/>
      <w:bookmarkStart w:id="56" w:name="_Toc84328136"/>
      <w:bookmarkStart w:id="57" w:name="_Toc81227455"/>
      <w:bookmarkStart w:id="58" w:name="_Toc14868078"/>
      <w:bookmarkStart w:id="59" w:name="_Toc14779256"/>
      <w:bookmarkStart w:id="60" w:name="_Toc14163159"/>
      <w:bookmarkStart w:id="61" w:name="_Toc14098676"/>
      <w:bookmarkStart w:id="62" w:name="_Toc13231233"/>
      <w:bookmarkStart w:id="63" w:name="_Toc11157014"/>
      <w:bookmarkStart w:id="64" w:name="_Toc11156368"/>
      <w:r>
        <w:rPr>
          <w:rFonts w:eastAsia="Times New Roman" w:cs="Calibri" w:ascii="Calibri" w:hAnsi="Calibri" w:asciiTheme="minorHAnsi" w:cstheme="minorHAnsi" w:hAnsiTheme="minorHAnsi"/>
          <w:b/>
          <w:sz w:val="28"/>
          <w:szCs w:val="28"/>
        </w:rPr>
        <w:t xml:space="preserve">V. </w:t>
      </w:r>
      <w:bookmarkEnd w:id="55"/>
      <w:r>
        <w:rPr>
          <w:rFonts w:eastAsia="Times New Roman" w:cs="Calibri" w:ascii="Calibri" w:hAnsi="Calibri" w:asciiTheme="minorHAnsi" w:cstheme="minorHAnsi" w:hAnsiTheme="minorHAnsi"/>
          <w:b/>
          <w:sz w:val="28"/>
          <w:szCs w:val="28"/>
        </w:rPr>
        <w:t>Kwalifikowalność kosztów</w:t>
      </w:r>
      <w:bookmarkEnd w:id="56"/>
      <w:bookmarkEnd w:id="57"/>
      <w:bookmarkEnd w:id="58"/>
      <w:bookmarkEnd w:id="59"/>
      <w:bookmarkEnd w:id="60"/>
      <w:bookmarkEnd w:id="61"/>
      <w:bookmarkEnd w:id="62"/>
      <w:bookmarkEnd w:id="63"/>
      <w:bookmarkEnd w:id="64"/>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Ze środków Programu będą pokrywane koszty związane bezpośrednio z realizacją usług asystencji osobistej. </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Niedozwolone jest podwójne finansowanie tego samego wydatku związanego z realizacją usług asystenta, zarówno w ramach Programu, jak i w ramach innych programów czy projektów finansowanych ze środków publicznych.</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 świadczenia usług asystencji osobistej może dotyczyć wszystkich kosztów związanych z ich świadczeniem, w szczególności takich jak:</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wynagrodzenie asystentów;</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zakup środków ochrony osobistej, w wysokości nie większej niż 50 zł miesięcznie dla jednego asystenta;</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zakup biletów komunikacji publicznej/prywatnej jednorazowych lub miesięcznych oraz </w:t>
      </w:r>
      <w:r>
        <w:rPr>
          <w:rFonts w:cs="Calibri" w:cstheme="minorHAnsi"/>
          <w:color w:val="000000" w:themeColor="text1"/>
          <w:sz w:val="24"/>
          <w:szCs w:val="24"/>
        </w:rPr>
        <w:t>koszt dojazdu własnym/innym środkiem transportu, np. taksówką asystentów w związku z wyjazdami, które dotyczą realizacji usług wymienionych w treści Programu;</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zakupu biletów wstępu na wydarzenia kulturalne, rozrywkowe, sportowe lub społeczne itp. dla asystenta towarzyszącego uczestnikowi Programu;</w:t>
      </w:r>
    </w:p>
    <w:p>
      <w:pPr>
        <w:pStyle w:val="ListParagraph"/>
        <w:numPr>
          <w:ilvl w:val="0"/>
          <w:numId w:val="14"/>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koszt ubezpieczeń OC lub NNW asystentów związanych ze świadczeniem usług asystenta, w wysokości nie większej niż 150 zł rocznie, przy czym zapewnienie ubezpieczenia od odpowiedzialności cywilnej jest obowiązkiem gminy/powiatu.</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Koszty, o których mowa ust. 3 pkt 3 i 4, mogą być wydatkowane w wysokości nie większej niż 300 zł miesięcznie.</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Koszty będą kwalifikowane, jeżeli:</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z usług asystencji osobistej u jednego asystenta w tym samym czasie będzie korzystać 1 uczestnik Programu;</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koszt </w:t>
      </w:r>
      <w:r>
        <w:rPr>
          <w:rFonts w:cs="Calibri" w:cstheme="minorHAnsi"/>
          <w:sz w:val="24"/>
          <w:szCs w:val="24"/>
        </w:rPr>
        <w:t>dojazdu własnym/innym środkiem transportu, np. taksówką asystentów w związku z wyjazdami, które dotyczą realizacji usług wymienionych w treści Programu</w:t>
      </w:r>
      <w:r>
        <w:rPr>
          <w:rFonts w:cs="Calibri" w:cstheme="minorHAnsi"/>
          <w:color w:val="000000"/>
          <w:sz w:val="24"/>
          <w:szCs w:val="24"/>
        </w:rPr>
        <w:t xml:space="preserve"> jest wliczony w czas pracy asystenta jedynie w przypadku obecności uczestnika Programu;</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będzie prowadzona ewidencja biletów komunikacji publicznej/prywatnej jednorazowych lub miesięcznych, zawierająca m.in. informacje dotyczące: daty pobrania biletów, liczby pobranych biletów, danych asystenta, daty i celu podróży;</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sz w:val="24"/>
          <w:szCs w:val="24"/>
        </w:rPr>
        <w:t xml:space="preserve">będzie prowadzona ewidencja przebiegu pojazdu stanowiącego własność asystenta (załącznik nr 11 do Programu pn. Wzór ewidencji przebiegu pojazdu) lub ewidencja kosztów przejazdu innym środkiem transportu, np. taksówką, zawierająca następujące informacje: dane asystenta, datę i cel podróży, do której należy dołączyć dowód </w:t>
      </w:r>
      <w:r>
        <w:rPr>
          <w:rFonts w:cs="Calibri" w:cstheme="minorHAnsi"/>
          <w:color w:val="000000" w:themeColor="text1"/>
          <w:sz w:val="24"/>
          <w:szCs w:val="24"/>
        </w:rPr>
        <w:t>poniesienia wydatku np. rachunek, paragon, fakturę dokumentującą ww. przejazd;</w:t>
      </w:r>
    </w:p>
    <w:p>
      <w:pPr>
        <w:pStyle w:val="ListParagraph"/>
        <w:numPr>
          <w:ilvl w:val="0"/>
          <w:numId w:val="15"/>
        </w:numPr>
        <w:spacing w:lineRule="auto" w:line="360" w:before="0" w:after="0"/>
        <w:ind w:left="567" w:hanging="283"/>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zakup środków ochrony osobistej oraz dojazd własnym/innym środkiem transportu, np. taksówką, asystentów w związku z wyjazdami, które dotyczą realizacji usług wymienionych w treści Programu, zostaną zrealizowane w terminie do 30. dnia od daty odwołania ogłoszonego w dniu 20 marca 2020 r. stanu epidemii na obszarze Rzeczypospolitej Polskiej z powodu zakażeń wirusem SARS-CoV-2.</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rPr>
        <w:t xml:space="preserve">Wydatki będą kwalifikowane, jeżeli zostaną poniesione w okresie realizacji zadania, tj. od dnia zawarcia umowy do dnia 31 grudnia 2022 r. </w:t>
      </w:r>
      <w:r>
        <w:rPr>
          <w:color w:val="000000"/>
          <w:sz w:val="24"/>
          <w:szCs w:val="24"/>
        </w:rPr>
        <w:t>W przypadku podpisania umowy po dniu rozpoczęcia realizacji Zadania istnieje możliwość zrefundowania ze środków Funduszu wydatków poniesionych w związku z realizacją zadania od dnia 1 stycznia 2022 r.</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Za datę ponoszenia kosztu przyjmuje się w przypadku wydatków pieniężnych w szczególności:</w:t>
      </w:r>
    </w:p>
    <w:p>
      <w:pPr>
        <w:pStyle w:val="ListParagraph"/>
        <w:numPr>
          <w:ilvl w:val="0"/>
          <w:numId w:val="4"/>
        </w:numPr>
        <w:spacing w:lineRule="auto" w:line="360" w:before="0" w:after="0"/>
        <w:ind w:left="567" w:hanging="360"/>
        <w:contextualSpacing/>
        <w:rPr>
          <w:rFonts w:ascii="Calibri" w:hAnsi="Calibri" w:cs="Calibri" w:asciiTheme="minorHAnsi" w:cstheme="minorHAnsi" w:hAnsiTheme="minorHAnsi"/>
          <w:sz w:val="24"/>
          <w:szCs w:val="24"/>
        </w:rPr>
      </w:pPr>
      <w:r>
        <w:rPr>
          <w:rFonts w:cs="Calibri" w:cstheme="minorHAnsi"/>
          <w:sz w:val="24"/>
          <w:szCs w:val="24"/>
        </w:rPr>
        <w:t>ponoszonych przelewem lub obciążeniową kartą płatniczą − datę obciążenia rachunku bankowego podmiotu realizującego usługi asystenta, tj. datę księgowania operacji;</w:t>
      </w:r>
    </w:p>
    <w:p>
      <w:pPr>
        <w:pStyle w:val="ListParagraph"/>
        <w:numPr>
          <w:ilvl w:val="0"/>
          <w:numId w:val="4"/>
        </w:numPr>
        <w:spacing w:lineRule="auto" w:line="360" w:before="0" w:after="0"/>
        <w:ind w:left="567" w:hanging="360"/>
        <w:contextualSpacing/>
        <w:rPr>
          <w:rFonts w:ascii="Calibri" w:hAnsi="Calibri" w:cs="Calibri" w:asciiTheme="minorHAnsi" w:cstheme="minorHAnsi" w:hAnsiTheme="minorHAnsi"/>
          <w:sz w:val="24"/>
          <w:szCs w:val="24"/>
        </w:rPr>
      </w:pPr>
      <w:r>
        <w:rPr>
          <w:rFonts w:cs="Calibri" w:cstheme="minorHAnsi"/>
          <w:sz w:val="24"/>
          <w:szCs w:val="24"/>
        </w:rPr>
        <w:t>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Środki finansowe Funduszu, przyznane na realizację Programu, muszą być wykorzystane zgodnie z Programem oraz zgodnie z umową zawartą pomiędzy wojewodą a gminą/powiatem.</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Gminy/powiaty, które uzyskały środki z Funduszu, są zobowiązane do ich rozliczenia w sposób i w terminach wskazanych w umowie zawartej z wojewodą, a także zwrotu niewykorzystanej części przyznanych środków z Funduszu w terminach określonych w umowie, zgodnie z ustawą z dnia 23 października 2018 r. o  Funduszu Solidarnościowym oraz ustawą z dnia 27 sierpnia 2009 r. o finansach publicznych </w:t>
      </w:r>
      <w:r>
        <w:rPr>
          <w:rFonts w:eastAsia="Arial Unicode MS" w:cs="Calibri" w:cstheme="minorHAnsi"/>
          <w:sz w:val="24"/>
          <w:szCs w:val="24"/>
        </w:rPr>
        <w:t xml:space="preserve">(Dz. U. z 2021 r. poz. 305, z późn. zm.). </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Podmiot otrzymujący środki z Funduszu jest zobowiązany do ich rozliczenia, a także do zwrotu niewykorzystanej ich części, w sposób i terminach wskazanych w umowie zawartej z gminą/powiatem.</w:t>
      </w:r>
    </w:p>
    <w:p>
      <w:pPr>
        <w:pStyle w:val="ListParagraph"/>
        <w:numPr>
          <w:ilvl w:val="0"/>
          <w:numId w:val="3"/>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Kosztami niekwalifikowanymi zadania (w przypadku jednostek samorządu terytorialnego − wydatkami) są:</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odsetki od zadłużenia;</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kwoty i koszty pożyczki lub kredytu;</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kary i grzywny;</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wpłaty na Państwowy Fundusz Rehabilitacji Osób Niepełnosprawnych;</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 xml:space="preserve">podatek VAT, który może zostać odzyskany na podstawie przepisów ustawy </w:t>
        <w:br/>
        <w:t>z dnia 11 marca 2004 r. o podatku od towarów i usług (Dz. U. z 2021 r. poz. 685, z późn. zm.) oraz aktów wykonawczych do tej ustawy;</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 xml:space="preserve">odsetki za opóźnienie w regulowaniu zobowiązań oraz odsetki za zwłokę z tytułu nieterminowych wpłat należności budżetowych i innych należności, </w:t>
        <w:br/>
        <w:t>do których stosuje się przepisy ustawy z dnia 29 sierpnia 1997 r. − Ordynacja podatkowa (Dz. U. z 2021 r. poz. 1540, z późn. zm.);</w:t>
      </w:r>
    </w:p>
    <w:p>
      <w:pPr>
        <w:pStyle w:val="ListParagraph"/>
        <w:numPr>
          <w:ilvl w:val="0"/>
          <w:numId w:val="5"/>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usługi asystenta świadczone przez członków rodziny, opiekunów prawnych lub osoby faktycznie zamieszkujące razem z uczestnikiem Programu.</w:t>
      </w:r>
    </w:p>
    <w:p>
      <w:pPr>
        <w:pStyle w:val="ListParagraph"/>
        <w:numPr>
          <w:ilvl w:val="0"/>
          <w:numId w:val="3"/>
        </w:numPr>
        <w:tabs>
          <w:tab w:val="clear" w:pos="708"/>
          <w:tab w:val="left" w:pos="426" w:leader="none"/>
        </w:tabs>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 przypadku wątpliwości decyzję o kwalifikowalności kosztów podejmuje wojewoda.</w:t>
      </w:r>
    </w:p>
    <w:p>
      <w:pPr>
        <w:pStyle w:val="ListParagraph"/>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65" w:name="_Toc84328137"/>
      <w:bookmarkStart w:id="66" w:name="_Toc81227456"/>
      <w:bookmarkStart w:id="67" w:name="_Toc14868079"/>
      <w:bookmarkStart w:id="68" w:name="_Toc14779257"/>
      <w:bookmarkStart w:id="69" w:name="_Toc14163160"/>
      <w:bookmarkStart w:id="70" w:name="_Toc14098677"/>
      <w:bookmarkStart w:id="71" w:name="_Toc13231234"/>
      <w:bookmarkStart w:id="72" w:name="_Toc11157015"/>
      <w:bookmarkStart w:id="73" w:name="_Toc462299090"/>
      <w:r>
        <w:rPr>
          <w:rFonts w:eastAsia="Times New Roman" w:cs="Calibri" w:ascii="Calibri" w:hAnsi="Calibri" w:asciiTheme="minorHAnsi" w:cstheme="minorHAnsi" w:hAnsiTheme="minorHAnsi"/>
          <w:b/>
          <w:sz w:val="28"/>
          <w:szCs w:val="28"/>
        </w:rPr>
        <w:t xml:space="preserve">VI. </w:t>
      </w:r>
      <w:bookmarkEnd w:id="73"/>
      <w:r>
        <w:rPr>
          <w:rFonts w:eastAsia="Times New Roman" w:cs="Calibri" w:ascii="Calibri" w:hAnsi="Calibri" w:asciiTheme="minorHAnsi" w:cstheme="minorHAnsi" w:hAnsiTheme="minorHAnsi"/>
          <w:b/>
          <w:sz w:val="28"/>
          <w:szCs w:val="28"/>
        </w:rPr>
        <w:t>Finansowanie Programu oraz warunki przyznawania gminom/powiatom środków z Funduszu przeznaczonych na realizację Programu</w:t>
      </w:r>
      <w:bookmarkEnd w:id="65"/>
      <w:bookmarkEnd w:id="66"/>
      <w:bookmarkEnd w:id="67"/>
      <w:bookmarkEnd w:id="68"/>
      <w:bookmarkEnd w:id="69"/>
      <w:bookmarkEnd w:id="70"/>
      <w:bookmarkEnd w:id="71"/>
      <w:bookmarkEnd w:id="72"/>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Źródłem finansowania Programu są środki ujęte w planie finansowym Funduszu na 2022 r. w kwocie 150 mln zł. Dysponentem środków Funduszu jest minister właściwy do spraw zabezpieczenia społecznego, zwany dalej „Ministrem”.</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Realizacja Programu następuje w trybie naboru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Nabór wniosków gmin/powiatów na środki finansowe z Programu jest dokonywany przez wojewodów.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sporządza i przekazuje Ministrowi wniosek wojewody na środki finansowe z Programu wraz z listą rekomendowanych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i zatwierdza listę rekomendowanych wniosków, z uwzględnieniem części VII ust. 8.</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zamieszcza listę podmiotów, których wnioski zatwierdził, wraz z kwotą przyznanych środków na swojej stronie internetowej oraz w Biuletynie Informacji Publicznej na stronie podmiotowej w terminie 30 dni od dnia opublikowania przez Ministra zatwierdzonej listy rekomendowanych wniosków.</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przekazuje środki na podstawie umów zawartych z wojewodami, a następnie wojewodowie przekazują te środki gminom/powiatom na podstawie umów w sprawie przyznania środków Funduszu w ramach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Podmioty realizujące zadania wynikające z umów zawartych w ramach Programu są zobowiązane do posiadania wyodrębnionego rachunku bankowego dla środków z Programu oraz prowadzenia wyodrębnionej ewidencji księgowej otrzymanych środków i dokonywanych z tych środków wydatków, zgodnie z art. 17 ustawy z dnia 23 października 2018 r. o Funduszu Solidarnościowym.</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Wójt, burmistrz, prezydent miasta/starosta może pokryć koszty obsługi Programu w wysokości faktycznie poniesionej, nie więcej niż 2% środków przekazanych na realizację tego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Wojewoda może pokryć koszty obsługi Programu w wysokości faktycznie poniesionej, nie więcej niż 0,5% środków przekazanych na realizację tego Programu.</w:t>
      </w:r>
    </w:p>
    <w:p>
      <w:pPr>
        <w:pStyle w:val="ListParagraph"/>
        <w:numPr>
          <w:ilvl w:val="0"/>
          <w:numId w:val="6"/>
        </w:numPr>
        <w:spacing w:lineRule="auto" w:line="360" w:before="0" w:after="0"/>
        <w:ind w:left="284" w:hanging="284"/>
        <w:contextualSpacing/>
        <w:rPr>
          <w:rFonts w:ascii="Calibri" w:hAnsi="Calibri" w:cs="Calibri" w:asciiTheme="minorHAnsi" w:cstheme="minorHAnsi" w:hAnsiTheme="minorHAnsi"/>
          <w:color w:val="000000" w:themeColor="text1"/>
          <w:sz w:val="24"/>
          <w:szCs w:val="24"/>
        </w:rPr>
      </w:pPr>
      <w:r>
        <w:rPr>
          <w:rFonts w:cs="Calibri" w:cstheme="minorHAnsi"/>
          <w:color w:val="000000" w:themeColor="text1"/>
          <w:sz w:val="24"/>
          <w:szCs w:val="24"/>
        </w:rPr>
        <w:t>Minister może pokryć koszty działań promocyjno-informacyjnych związanych z Programem w wysokości nieprzekraczającej kwoty 100 tys. zł, w ramach planu finansowego Funduszu na 2022 r. w pozycji „koszty realizacji zadań związanych z promowaniem i wspieraniem systemu wsparcia osób niepełnosprawnych”.</w:t>
      </w:r>
    </w:p>
    <w:p>
      <w:pPr>
        <w:pStyle w:val="ListParagraph"/>
        <w:spacing w:lineRule="auto" w:line="360" w:before="0" w:after="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Fonts w:ascii="Calibri" w:hAnsi="Calibri" w:eastAsia="Times New Roman" w:cs="Calibri" w:asciiTheme="minorHAnsi" w:cstheme="minorHAnsi" w:hAnsiTheme="minorHAnsi"/>
          <w:b/>
          <w:b/>
          <w:sz w:val="28"/>
          <w:szCs w:val="28"/>
        </w:rPr>
      </w:pPr>
      <w:bookmarkStart w:id="74" w:name="_Toc84328138"/>
      <w:bookmarkStart w:id="75" w:name="_Toc81227457"/>
      <w:bookmarkStart w:id="76" w:name="_Toc14868080"/>
      <w:bookmarkStart w:id="77" w:name="_Toc14779258"/>
      <w:bookmarkStart w:id="78" w:name="_Toc14163161"/>
      <w:bookmarkStart w:id="79" w:name="_Toc14098678"/>
      <w:bookmarkStart w:id="80" w:name="_Toc13231235"/>
      <w:bookmarkStart w:id="81" w:name="_Toc11157016"/>
      <w:bookmarkStart w:id="82" w:name="_Toc11156369"/>
      <w:bookmarkStart w:id="83" w:name="_Toc462299091"/>
      <w:r>
        <w:rPr>
          <w:rFonts w:eastAsia="Times New Roman" w:cs="Calibri" w:ascii="Calibri" w:hAnsi="Calibri" w:asciiTheme="minorHAnsi" w:cstheme="minorHAnsi" w:hAnsiTheme="minorHAnsi"/>
          <w:b/>
          <w:sz w:val="28"/>
          <w:szCs w:val="28"/>
        </w:rPr>
        <w:t xml:space="preserve">VII. </w:t>
      </w:r>
      <w:bookmarkEnd w:id="83"/>
      <w:r>
        <w:rPr>
          <w:rFonts w:eastAsia="Times New Roman" w:cs="Calibri" w:ascii="Calibri" w:hAnsi="Calibri" w:asciiTheme="minorHAnsi" w:cstheme="minorHAnsi" w:hAnsiTheme="minorHAnsi"/>
          <w:b/>
          <w:sz w:val="28"/>
          <w:szCs w:val="28"/>
        </w:rPr>
        <w:t>Terminy i warunki realizacji Programu</w:t>
      </w:r>
      <w:bookmarkEnd w:id="74"/>
      <w:bookmarkEnd w:id="75"/>
      <w:bookmarkEnd w:id="76"/>
      <w:bookmarkEnd w:id="77"/>
      <w:bookmarkEnd w:id="78"/>
      <w:bookmarkEnd w:id="79"/>
      <w:bookmarkEnd w:id="80"/>
      <w:bookmarkEnd w:id="81"/>
      <w:bookmarkEnd w:id="82"/>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Program będzie realizowany od dnia 1 stycznia 2022 r. do dnia 31 grudnia 2022 r.</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Złożenie wniosku gminy/powiatu na środki finansowe z Programu nie jest równoznaczne z przyznaniem środków Funduszu w wysokości wskazanej we wniosku.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Wniosek gminy/powiatu na środki finansowe z Programu jest składany zgodnie ze wzorem, stanowiącym załącznik nr 1 do Programu.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Wniosek gminy na środki finansowe z Programu jest składany wyłącznie w postaci elektronicznej i należy przesłać go za pośrednictwem platformy ePUAP. Wniosek musi być opatrzony kwalifikowanym podpisem elektronicznym, podpisem zaufanym albo podpisem osobistym.</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 przypadku stwierdzenia braków lub błędów we wniosku gminy/powiatu na środki finansowe z Programu wojewoda informuje wnioskodawcę o nieprawidłowościach (</w:t>
      </w:r>
      <w:r>
        <w:rPr>
          <w:rFonts w:asciiTheme="minorHAnsi" w:hAnsiTheme="minorHAnsi"/>
          <w:sz w:val="24"/>
          <w:szCs w:val="24"/>
        </w:rPr>
        <w:t xml:space="preserve">np. o oczywistych omyłek pisarskich czy oczywistych omyłek rachunkowych, z uwzględnieniem konsekwencji rachunkowych dokonanych poprawek) </w:t>
      </w:r>
      <w:r>
        <w:rPr>
          <w:rFonts w:cs="Calibri" w:cstheme="minorHAnsi"/>
          <w:color w:val="000000"/>
          <w:sz w:val="24"/>
          <w:szCs w:val="24"/>
        </w:rPr>
        <w:t>i wzywa do poprawienia wniosku w wyznaczonym terminie nie dłuższym niż 5 dni pod rygorem odrzucenia wniosku.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 przypadku stwierdzenia przez wojewodę braków lub błędów w poprawionej wersji wniosku gminy/powiatu na środki finansowe z Programu wniosek podlega odrzuceniu.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Wojewoda, po dokonaniu oceny wniosków, przekazuje Ministrowi listę wniosków zakwalifikowanych do Programu w terminie i na zasadach określonych w ogłoszeniu o naborze wniosków.</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Minister w trakcie rozpatrywania wniosków zakwalifikowanych do Programu przez wojewodów może zażądać dodatkowych wyjaśnień w zakresie kalkulacji kosztów realizacji Programu oraz przekazania dokumentacji otrzymanej przez wojewodę od gmin/powiatów w ramach naboru wniosków do Programu. Minister może wyłączyć wniosek z postępowania ze względów formalnych lub merytorycznych. </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Minister weryfikuje listę wniosków przesłanych przez wojewodów i przyznaje środki Funduszu do wyczerpania limitu środków przeznaczonych na realizację Programu.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Kwota przyznanych środków z Funduszu może być niższa od wskazanej we wniosku wojewody na środki finansowe z Programu.</w:t>
      </w:r>
      <w:r>
        <w:rPr>
          <w:rFonts w:cs="Calibri" w:cstheme="minorHAnsi"/>
          <w:color w:val="000000"/>
          <w:sz w:val="28"/>
          <w:szCs w:val="28"/>
        </w:rPr>
        <w:t xml:space="preserve"> </w:t>
      </w:r>
      <w:r>
        <w:rPr>
          <w:rFonts w:cs="Calibri" w:cstheme="minorHAnsi"/>
          <w:color w:val="000000"/>
          <w:sz w:val="24"/>
          <w:szCs w:val="24"/>
        </w:rPr>
        <w:t xml:space="preserve">Minister zastrzega sobie prawo zaproponowania innej kwoty wsparcia finansowego niż wnioskowana przez wojewodę. W takim przypadku wojewoda zobowiązany będzie do dokonania </w:t>
      </w:r>
      <w:r>
        <w:rPr>
          <w:rFonts w:cs="Calibri" w:cstheme="minorHAnsi"/>
          <w:color w:val="000000" w:themeColor="text1"/>
          <w:sz w:val="24"/>
          <w:szCs w:val="24"/>
        </w:rPr>
        <w:t xml:space="preserve">proporcjonalnego podziału </w:t>
      </w:r>
      <w:r>
        <w:rPr>
          <w:rFonts w:cs="Calibri" w:cstheme="minorHAnsi"/>
          <w:color w:val="000000"/>
          <w:sz w:val="24"/>
          <w:szCs w:val="24"/>
        </w:rPr>
        <w:t>środków pomiędzy gminy/powiaty, których wnioski zostały zakwalifikowane.</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eastAsia="Arial Unicode MS" w:cs="Calibri" w:cstheme="minorHAnsi"/>
          <w:color w:val="000000"/>
          <w:sz w:val="24"/>
          <w:szCs w:val="24"/>
        </w:rPr>
        <w:t>Do środków z Funduszu przekazanych na realizację Programu stosuje się odpowiednio art. 60–67 i art. 169 ustawy z dnia 27 sierpnia 2009 r. o finansach publicznych, z tym że organem właściwym do umarzania, odraczania terminów zapłaty lub rozkładania na raty spłat należności Funduszu, a także wydania decyzji o zwrocie całości lub części należności w związku z wykorzystaniem środków niezgodnie z przeznaczeniem albo pobrania ich nienależnie lub w nadmiernej wysokości, jest wojewoda.</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Środki będą przekazywane zgodnie z zawartymi umowami w sprawie wysokości i trybu przekazywania środków Funduszu.</w:t>
      </w:r>
    </w:p>
    <w:p>
      <w:pPr>
        <w:pStyle w:val="ListParagraph"/>
        <w:numPr>
          <w:ilvl w:val="0"/>
          <w:numId w:val="7"/>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Umowa, o której mowa w ust. 12, powinna zawierać szczegółowe postanowienia dotyczące warunków przekazywania i rozliczania środków w układzie rocznym. Środki z Programu mogą być wykorzystywane na zasadzie refundacji poniesionych wydatków lub na zasadzie zaliczki na sfinansowanie wydatków poniesionych na realizację Programu, w sposób umożliwiający terminową realizację płatności za zrealizowane usługi asystencji osobistej.</w:t>
      </w:r>
    </w:p>
    <w:p>
      <w:pPr>
        <w:pStyle w:val="ListParagraph"/>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r>
      <w:bookmarkStart w:id="84" w:name="_Toc462299092"/>
      <w:bookmarkStart w:id="85" w:name="_Toc462299092"/>
    </w:p>
    <w:p>
      <w:pPr>
        <w:pStyle w:val="Nagwek1"/>
        <w:spacing w:lineRule="auto" w:line="259" w:before="240" w:after="0"/>
        <w:rPr>
          <w:rStyle w:val="Nagwek1Znak"/>
          <w:rFonts w:ascii="Calibri" w:hAnsi="Calibri" w:eastAsia="Times New Roman" w:cs="Calibri" w:asciiTheme="minorHAnsi" w:cstheme="minorHAnsi" w:hAnsiTheme="minorHAnsi"/>
          <w:b/>
          <w:b/>
          <w:sz w:val="28"/>
          <w:szCs w:val="28"/>
        </w:rPr>
      </w:pPr>
      <w:bookmarkStart w:id="86" w:name="_Toc462299092"/>
      <w:bookmarkStart w:id="87" w:name="_Toc84328139"/>
      <w:bookmarkStart w:id="88" w:name="_Toc81227458"/>
      <w:bookmarkStart w:id="89" w:name="_Toc14868081"/>
      <w:bookmarkStart w:id="90" w:name="_Toc14779259"/>
      <w:bookmarkStart w:id="91" w:name="_Toc14163162"/>
      <w:bookmarkStart w:id="92" w:name="_Toc14098679"/>
      <w:bookmarkStart w:id="93" w:name="_Toc13231236"/>
      <w:bookmarkStart w:id="94" w:name="_Toc11157017"/>
      <w:bookmarkStart w:id="95" w:name="_Toc11156370"/>
      <w:r>
        <w:rPr>
          <w:rStyle w:val="Nagwek1Znak"/>
          <w:rFonts w:eastAsia="Times New Roman" w:cs="Calibri" w:ascii="Calibri" w:hAnsi="Calibri" w:asciiTheme="minorHAnsi" w:cstheme="minorHAnsi" w:hAnsiTheme="minorHAnsi"/>
          <w:b/>
          <w:sz w:val="28"/>
          <w:szCs w:val="28"/>
        </w:rPr>
        <w:t xml:space="preserve">VIII. </w:t>
      </w:r>
      <w:bookmarkEnd w:id="86"/>
      <w:r>
        <w:rPr>
          <w:rStyle w:val="Nagwek1Znak"/>
          <w:rFonts w:eastAsia="Times New Roman" w:cs="Calibri" w:ascii="Calibri" w:hAnsi="Calibri" w:asciiTheme="minorHAnsi" w:cstheme="minorHAnsi" w:hAnsiTheme="minorHAnsi"/>
          <w:b/>
          <w:sz w:val="28"/>
          <w:szCs w:val="28"/>
        </w:rPr>
        <w:t>Tryb przystąpienia do Programu</w:t>
      </w:r>
      <w:bookmarkEnd w:id="87"/>
      <w:bookmarkEnd w:id="88"/>
      <w:bookmarkEnd w:id="89"/>
      <w:bookmarkEnd w:id="90"/>
      <w:bookmarkEnd w:id="91"/>
      <w:bookmarkEnd w:id="92"/>
      <w:bookmarkEnd w:id="93"/>
      <w:bookmarkEnd w:id="94"/>
      <w:bookmarkEnd w:id="95"/>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Gminy/powiaty, składając do właściwego wojewody wniosek na środki finansowe z Programu, którego wzór stanowi załącznik nr 1 do Programu, uwzględniają w nim w szczególności przewidywaną liczbę uczestników Programu i koszt realizacji usług asystencji osobistej. </w:t>
      </w:r>
    </w:p>
    <w:p>
      <w:pPr>
        <w:pStyle w:val="ListParagraph"/>
        <w:numPr>
          <w:ilvl w:val="0"/>
          <w:numId w:val="8"/>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Wojewoda po weryfikacji wniosków złożonych przez gminy/powiaty sporządza listę zakwalifikowanych wniosków i przekazuje ją Ministrowi do zatwierdzenia.</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259" w:before="240" w:after="0"/>
        <w:rPr>
          <w:rFonts w:ascii="Calibri" w:hAnsi="Calibri" w:eastAsia="Times New Roman" w:cs="Calibri" w:asciiTheme="minorHAnsi" w:cstheme="minorHAnsi" w:hAnsiTheme="minorHAnsi"/>
          <w:b/>
          <w:b/>
          <w:sz w:val="28"/>
          <w:szCs w:val="28"/>
        </w:rPr>
      </w:pPr>
      <w:bookmarkStart w:id="96" w:name="_Toc14868082"/>
      <w:bookmarkStart w:id="97" w:name="_Toc14779260"/>
      <w:bookmarkStart w:id="98" w:name="_Toc14163163"/>
      <w:bookmarkStart w:id="99" w:name="_Toc14098680"/>
      <w:bookmarkStart w:id="100" w:name="_Toc13231237"/>
      <w:bookmarkStart w:id="101" w:name="_Toc11157018"/>
      <w:bookmarkStart w:id="102" w:name="_Toc11156371"/>
      <w:bookmarkStart w:id="103" w:name="_Toc84328140"/>
      <w:bookmarkStart w:id="104" w:name="_Toc81227459"/>
      <w:bookmarkStart w:id="105" w:name="_Toc462299093"/>
      <w:r>
        <w:rPr>
          <w:rFonts w:eastAsia="Times New Roman" w:cs="Calibri" w:ascii="Calibri" w:hAnsi="Calibri" w:asciiTheme="minorHAnsi" w:cstheme="minorHAnsi" w:hAnsiTheme="minorHAnsi"/>
          <w:b/>
          <w:sz w:val="28"/>
          <w:szCs w:val="28"/>
        </w:rPr>
        <w:t xml:space="preserve">IX. </w:t>
      </w:r>
      <w:bookmarkEnd w:id="105"/>
      <w:r>
        <w:rPr>
          <w:rFonts w:eastAsia="Times New Roman" w:cs="Calibri" w:ascii="Calibri" w:hAnsi="Calibri" w:asciiTheme="minorHAnsi" w:cstheme="minorHAnsi" w:hAnsiTheme="minorHAnsi"/>
          <w:b/>
          <w:sz w:val="28"/>
          <w:szCs w:val="28"/>
        </w:rPr>
        <w:t xml:space="preserve">Kryteria naboru wniosków przez </w:t>
      </w:r>
      <w:bookmarkEnd w:id="103"/>
      <w:bookmarkEnd w:id="104"/>
      <w:r>
        <w:rPr>
          <w:rFonts w:eastAsia="Times New Roman" w:cs="Calibri" w:ascii="Calibri" w:hAnsi="Calibri" w:asciiTheme="minorHAnsi" w:cstheme="minorHAnsi" w:hAnsiTheme="minorHAnsi"/>
          <w:b/>
          <w:sz w:val="28"/>
          <w:szCs w:val="28"/>
        </w:rPr>
        <w:t xml:space="preserve">wojewodę </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Każdy wniosek złożony w ramach Programu musi spełnić nw. kryteria formalne. </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Kryteria oceny formalnej (0-1 pkt):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kompletnie i prawidłowo wypełniony wniosek zgodnie z obowiązującym wzorem, przesłany w terminie i na właściwy adres;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color w:val="000000"/>
          <w:sz w:val="24"/>
          <w:szCs w:val="24"/>
        </w:rPr>
        <w:t>koszt jednej godziny zegarowej wynagrodzenia z tytułu świadczenia usług asystencji osobistej nie przekracza 40 zł brutto</w:t>
      </w:r>
      <w:r>
        <w:rPr>
          <w:rFonts w:asciiTheme="minorHAnsi" w:hAnsiTheme="minorHAnsi"/>
          <w:sz w:val="24"/>
          <w:szCs w:val="24"/>
        </w:rPr>
        <w:t>, l</w:t>
      </w:r>
      <w:r>
        <w:rPr>
          <w:rFonts w:cs="Calibri" w:cstheme="minorHAnsi"/>
          <w:color w:val="000000" w:themeColor="text1"/>
          <w:sz w:val="24"/>
          <w:szCs w:val="24"/>
        </w:rPr>
        <w:t xml:space="preserve">imit godzin usług asystencji osobistej finansowanych ze środków Funduszu przypadających na 1 uczestnika wynosi nie więcej niż limity wskazane w części IV ust. 18 </w:t>
      </w:r>
      <w:r>
        <w:rPr>
          <w:rFonts w:cs="Calibri" w:cstheme="minorHAnsi"/>
          <w:sz w:val="24"/>
          <w:szCs w:val="24"/>
        </w:rPr>
        <w:t xml:space="preserve">oraz </w:t>
      </w:r>
    </w:p>
    <w:p>
      <w:pPr>
        <w:pStyle w:val="ListParagraph"/>
        <w:numPr>
          <w:ilvl w:val="0"/>
          <w:numId w:val="25"/>
        </w:numPr>
        <w:spacing w:lineRule="auto" w:line="360"/>
        <w:rPr>
          <w:rFonts w:ascii="Calibri" w:hAnsi="Calibri" w:cs="Calibri" w:asciiTheme="minorHAnsi" w:cstheme="minorHAnsi" w:hAnsiTheme="minorHAnsi"/>
          <w:sz w:val="24"/>
          <w:szCs w:val="24"/>
        </w:rPr>
      </w:pPr>
      <w:r>
        <w:rPr>
          <w:rFonts w:cs="Calibri" w:cstheme="minorHAnsi"/>
          <w:sz w:val="24"/>
          <w:szCs w:val="24"/>
        </w:rPr>
        <w:t>wniosek został złożony przez uprawniony podmiot.</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Wniosek, który nie spełnia wymogów formalnych będzie zwracany do uzupełnienia w wyznaczonym przez wojewodę czasie. Błędne uzupełnienie lub jego brak będzie skutkować odrzuceniem wniosku.</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Poszczególne kryteria formalne będą weryfikowane przez wojewodę na etapie oceny formalnej poprzedzającej etap oceny merytorycznej. W wyniku oceny formalnej wniosek może zostać: </w:t>
      </w:r>
    </w:p>
    <w:p>
      <w:pPr>
        <w:pStyle w:val="ListParagraph"/>
        <w:numPr>
          <w:ilvl w:val="0"/>
          <w:numId w:val="26"/>
        </w:numPr>
        <w:tabs>
          <w:tab w:val="clear" w:pos="708"/>
          <w:tab w:val="left" w:pos="284" w:leader="none"/>
        </w:tabs>
        <w:spacing w:lineRule="auto" w:line="360"/>
        <w:rPr>
          <w:rFonts w:ascii="Calibri" w:hAnsi="Calibri" w:cs="Calibri" w:asciiTheme="minorHAnsi" w:cstheme="minorHAnsi" w:hAnsiTheme="minorHAnsi"/>
          <w:sz w:val="24"/>
          <w:szCs w:val="24"/>
        </w:rPr>
      </w:pPr>
      <w:r>
        <w:rPr>
          <w:rFonts w:cs="Calibri" w:cstheme="minorHAnsi"/>
          <w:sz w:val="24"/>
          <w:szCs w:val="24"/>
        </w:rPr>
        <w:t>zakwalifikowany do oceny merytorycznej – w przypadku spełnienia wszystkich kryteriów formalnych;</w:t>
      </w:r>
    </w:p>
    <w:p>
      <w:pPr>
        <w:pStyle w:val="ListParagraph"/>
        <w:numPr>
          <w:ilvl w:val="0"/>
          <w:numId w:val="26"/>
        </w:numPr>
        <w:tabs>
          <w:tab w:val="clear" w:pos="708"/>
          <w:tab w:val="left" w:pos="284" w:leader="none"/>
        </w:tabs>
        <w:spacing w:lineRule="auto" w:line="360"/>
        <w:rPr>
          <w:rFonts w:ascii="Calibri" w:hAnsi="Calibri" w:cs="Calibri" w:asciiTheme="minorHAnsi" w:cstheme="minorHAnsi" w:hAnsiTheme="minorHAnsi"/>
          <w:sz w:val="24"/>
          <w:szCs w:val="24"/>
        </w:rPr>
      </w:pPr>
      <w:r>
        <w:rPr>
          <w:rFonts w:cs="Calibri" w:cstheme="minorHAnsi"/>
          <w:sz w:val="24"/>
          <w:szCs w:val="24"/>
        </w:rPr>
        <w:t>odrzucony – w przypadku niespełnienia któregokolwiek z kryteriów formalnych lub ich nieuzupełnienia w wymaganym terminie.</w:t>
      </w:r>
    </w:p>
    <w:p>
      <w:pPr>
        <w:pStyle w:val="ListParagraph"/>
        <w:numPr>
          <w:ilvl w:val="0"/>
          <w:numId w:val="24"/>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Ocenie merytorycznej podlegają wyłącznie wnioski spełniające kryteria formalne. </w:t>
      </w:r>
    </w:p>
    <w:p>
      <w:pPr>
        <w:pStyle w:val="ListParagraph"/>
        <w:numPr>
          <w:ilvl w:val="0"/>
          <w:numId w:val="24"/>
        </w:numPr>
        <w:tabs>
          <w:tab w:val="clear" w:pos="708"/>
          <w:tab w:val="left" w:pos="284" w:leader="none"/>
        </w:tabs>
        <w:spacing w:lineRule="auto" w:line="360"/>
        <w:rPr>
          <w:rFonts w:ascii="Calibri" w:hAnsi="Calibri" w:cs="Calibri" w:asciiTheme="minorHAnsi" w:cstheme="minorHAnsi" w:hAnsiTheme="minorHAnsi"/>
          <w:b/>
          <w:b/>
          <w:sz w:val="24"/>
          <w:szCs w:val="24"/>
        </w:rPr>
      </w:pPr>
      <w:r>
        <w:rPr>
          <w:rFonts w:cs="Calibri" w:cstheme="minorHAnsi"/>
          <w:sz w:val="24"/>
          <w:szCs w:val="24"/>
        </w:rPr>
        <w:t>Kryteria merytoryczne:</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6.1. Kryteria oceny zostały określone w art. 13 ust. 6 ustawy z dnia 23 października 2018 r. o Funduszu Solidarnościowym; przy ocenie wniosku bierze się pod uwagę:</w:t>
      </w:r>
    </w:p>
    <w:p>
      <w:pPr>
        <w:pStyle w:val="ListParagraph"/>
        <w:numPr>
          <w:ilvl w:val="0"/>
          <w:numId w:val="18"/>
        </w:numPr>
        <w:tabs>
          <w:tab w:val="clear" w:pos="708"/>
          <w:tab w:val="left" w:pos="284" w:leader="none"/>
        </w:tabs>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adekwatność wniosku w odniesieniu do celów Programu;</w:t>
      </w:r>
    </w:p>
    <w:p>
      <w:pPr>
        <w:pStyle w:val="ListParagraph"/>
        <w:numPr>
          <w:ilvl w:val="0"/>
          <w:numId w:val="18"/>
        </w:numPr>
        <w:tabs>
          <w:tab w:val="clear" w:pos="708"/>
          <w:tab w:val="left" w:pos="284" w:leader="none"/>
        </w:tabs>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potencjalny wpływ zadań na beneficjentów, w tym także trwałość rezultatów zadań zawartych we wniosku;</w:t>
      </w:r>
    </w:p>
    <w:p>
      <w:pPr>
        <w:pStyle w:val="ListParagraph"/>
        <w:numPr>
          <w:ilvl w:val="0"/>
          <w:numId w:val="1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zasadność wysokości wnioskowanych środków w stosunku do celu, rezultatów i zakresu zadań, które obejmuje wniosek;</w:t>
      </w:r>
    </w:p>
    <w:p>
      <w:pPr>
        <w:pStyle w:val="ListParagraph"/>
        <w:numPr>
          <w:ilvl w:val="0"/>
          <w:numId w:val="1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zdolność organizacyjną wnioskodawcy oraz przygotowanie instytucjonalne do realizacji zadań.</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6.1.1. Łączna liczba punktów za spełnienie kryteriów, o których mowa w ust. 6.1. wynosi </w:t>
      </w:r>
      <w:r>
        <w:rPr>
          <w:rFonts w:cs="Calibri" w:cstheme="minorHAnsi"/>
          <w:b/>
          <w:sz w:val="24"/>
          <w:szCs w:val="24"/>
        </w:rPr>
        <w:t>4 pkt</w:t>
      </w:r>
      <w:r>
        <w:rPr>
          <w:rFonts w:cs="Calibri" w:cstheme="minorHAnsi"/>
          <w:sz w:val="24"/>
          <w:szCs w:val="24"/>
        </w:rPr>
        <w:t xml:space="preserve"> (1 pkt za spełnienie każdego kryterium).</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6.2. Ponadto uwzględnione zostaną:</w:t>
      </w:r>
    </w:p>
    <w:p>
      <w:pPr>
        <w:pStyle w:val="ListParagraph"/>
        <w:numPr>
          <w:ilvl w:val="0"/>
          <w:numId w:val="23"/>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ocena kalkulacji kosztów realizacji usług asystenta pod względem spójności z opisem działań, a także adekwatności i celowości w odniesieniu do przedstawionego zakresu rzeczowego zadania;</w:t>
      </w:r>
    </w:p>
    <w:p>
      <w:pPr>
        <w:pStyle w:val="ListParagraph"/>
        <w:numPr>
          <w:ilvl w:val="0"/>
          <w:numId w:val="23"/>
        </w:numPr>
        <w:spacing w:lineRule="auto" w:line="360" w:before="0" w:after="0"/>
        <w:contextualSpacing/>
        <w:rPr>
          <w:rFonts w:ascii="Calibri" w:hAnsi="Calibri" w:cs="Calibri" w:asciiTheme="minorHAnsi" w:cstheme="minorHAnsi" w:hAnsiTheme="minorHAnsi"/>
          <w:sz w:val="24"/>
          <w:szCs w:val="24"/>
        </w:rPr>
      </w:pPr>
      <w:r>
        <w:rPr>
          <w:rFonts w:cs="Calibri" w:cstheme="minorHAnsi"/>
          <w:bCs/>
          <w:sz w:val="24"/>
          <w:szCs w:val="24"/>
        </w:rPr>
        <w:t xml:space="preserve">planowana liczba uczestników Programu, w szczególności planowana liczba osób </w:t>
      </w:r>
      <w:r>
        <w:rPr>
          <w:rFonts w:cs="Calibri" w:cstheme="minorHAnsi"/>
          <w:sz w:val="24"/>
          <w:szCs w:val="24"/>
        </w:rPr>
        <w:t>niepełnosprawnych wymagających wysokiego poziomu wsparcia, w tym osób niepełnosprawnościami sprzężonymi i trudnościami związanymi z mobilnością i komunikacją.</w:t>
      </w:r>
    </w:p>
    <w:p>
      <w:pPr>
        <w:pStyle w:val="Normal"/>
        <w:spacing w:lineRule="auto" w:line="360"/>
        <w:rPr>
          <w:rFonts w:ascii="Calibri" w:hAnsi="Calibri" w:cs="Calibri" w:asciiTheme="minorHAnsi" w:cstheme="minorHAnsi" w:hAnsiTheme="minorHAnsi"/>
          <w:sz w:val="24"/>
          <w:szCs w:val="24"/>
        </w:rPr>
      </w:pPr>
      <w:r>
        <w:rPr>
          <w:rFonts w:cs="Calibri" w:cstheme="minorHAnsi"/>
          <w:bCs/>
          <w:sz w:val="24"/>
          <w:szCs w:val="24"/>
        </w:rPr>
        <w:t xml:space="preserve">6.2.1. </w:t>
      </w:r>
      <w:r>
        <w:rPr>
          <w:rFonts w:cs="Calibri" w:cstheme="minorHAnsi"/>
          <w:sz w:val="24"/>
          <w:szCs w:val="24"/>
        </w:rPr>
        <w:t xml:space="preserve">Łączna liczba punktów za spełnienie kryteriów, o których mowa w ust. 6.2., wynosi </w:t>
      </w:r>
      <w:r>
        <w:rPr>
          <w:rFonts w:cs="Calibri" w:cstheme="minorHAnsi"/>
          <w:b/>
          <w:sz w:val="24"/>
          <w:szCs w:val="24"/>
        </w:rPr>
        <w:t>6 pkt</w:t>
      </w:r>
      <w:r>
        <w:rPr>
          <w:rFonts w:cs="Calibri" w:cstheme="minorHAnsi"/>
          <w:sz w:val="24"/>
          <w:szCs w:val="24"/>
        </w:rPr>
        <w:t xml:space="preserve"> (0-3 pkt za spełnienie każdego kryterium).</w:t>
      </w:r>
    </w:p>
    <w:p>
      <w:pPr>
        <w:pStyle w:val="ListParagraph"/>
        <w:numPr>
          <w:ilvl w:val="0"/>
          <w:numId w:val="24"/>
        </w:numPr>
        <w:spacing w:lineRule="auto" w:line="360"/>
        <w:rPr>
          <w:rFonts w:ascii="Calibri" w:hAnsi="Calibri" w:cs="Calibri" w:asciiTheme="minorHAnsi" w:cstheme="minorHAnsi" w:hAnsiTheme="minorHAnsi"/>
          <w:bCs/>
          <w:sz w:val="24"/>
          <w:szCs w:val="24"/>
        </w:rPr>
      </w:pPr>
      <w:r>
        <w:rPr>
          <w:rFonts w:cs="Calibri" w:cstheme="minorHAnsi"/>
          <w:bCs/>
          <w:sz w:val="24"/>
          <w:szCs w:val="24"/>
        </w:rPr>
        <w:t xml:space="preserve">Maksymalna liczba punktów, jaką można w sumie uzyskać po dokonaniu oceny formalnej i merytorycznej, wynosi </w:t>
      </w:r>
      <w:r>
        <w:rPr>
          <w:rFonts w:cs="Calibri" w:cstheme="minorHAnsi"/>
          <w:b/>
          <w:bCs/>
          <w:sz w:val="24"/>
          <w:szCs w:val="24"/>
        </w:rPr>
        <w:t>11 pkt</w:t>
      </w:r>
      <w:r>
        <w:rPr>
          <w:rFonts w:cs="Calibri" w:cstheme="minorHAnsi"/>
          <w:bCs/>
          <w:sz w:val="24"/>
          <w:szCs w:val="24"/>
        </w:rPr>
        <w:t>.</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 xml:space="preserve">8. Pierwszeństwo w przyznaniu rekomendacji przez wojewodę mają wnioski, które uzyskają najwyższą liczbę punktów. </w:t>
      </w:r>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r>
    </w:p>
    <w:p>
      <w:pPr>
        <w:pStyle w:val="Nagwek1"/>
        <w:spacing w:lineRule="auto" w:line="360"/>
        <w:rPr>
          <w:rStyle w:val="Strong"/>
          <w:rFonts w:ascii="Calibri" w:hAnsi="Calibri" w:eastAsia="Times New Roman" w:cs="Calibri" w:asciiTheme="minorHAnsi" w:cstheme="minorHAnsi" w:hAnsiTheme="minorHAnsi"/>
          <w:sz w:val="28"/>
          <w:szCs w:val="28"/>
        </w:rPr>
      </w:pPr>
      <w:bookmarkStart w:id="106" w:name="_Toc84328141"/>
      <w:bookmarkStart w:id="107" w:name="_Toc81227460"/>
      <w:r>
        <w:rPr>
          <w:rFonts w:eastAsia="Times New Roman" w:cs="Calibri" w:ascii="Calibri" w:hAnsi="Calibri" w:asciiTheme="minorHAnsi" w:cstheme="minorHAnsi" w:hAnsiTheme="minorHAnsi"/>
          <w:b/>
          <w:sz w:val="28"/>
          <w:szCs w:val="28"/>
        </w:rPr>
        <w:t>X.</w:t>
      </w:r>
      <w:r>
        <w:rPr>
          <w:rFonts w:eastAsia="Times New Roman" w:cs="Calibri" w:ascii="Calibri" w:hAnsi="Calibri" w:asciiTheme="minorHAnsi" w:cstheme="minorHAnsi" w:hAnsiTheme="minorHAnsi"/>
          <w:sz w:val="28"/>
          <w:szCs w:val="28"/>
        </w:rPr>
        <w:t xml:space="preserve"> </w:t>
      </w:r>
      <w:r>
        <w:rPr>
          <w:rStyle w:val="Strong"/>
          <w:rFonts w:eastAsia="Times New Roman" w:cs="Calibri" w:ascii="Calibri" w:hAnsi="Calibri" w:asciiTheme="minorHAnsi" w:cstheme="minorHAnsi" w:hAnsiTheme="minorHAnsi"/>
          <w:sz w:val="28"/>
          <w:szCs w:val="28"/>
        </w:rPr>
        <w:t>Przetwarzanie danych osobowych</w:t>
      </w:r>
      <w:bookmarkEnd w:id="106"/>
      <w:bookmarkEnd w:id="107"/>
    </w:p>
    <w:p>
      <w:pPr>
        <w:pStyle w:val="Default"/>
        <w:numPr>
          <w:ilvl w:val="0"/>
          <w:numId w:val="33"/>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 xml:space="preserve">Jeżeli w związku z realizacją przedmiotu umowy zaistnieje potrzeba przetwarzania przez gminę/powiat danych osobowych osób fizycznych, gmina/powiat oświadcza, że obowiązki administratora danych osobowych tych osób będzie wykonywać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 szczególności gmina/powiat przekaże tym osobom informacje, o których mowa w art. 13 lub w art. 14 RODO. W tym celu gmina/powiat zobowiązuje się przekazać osobie fizycznej, o której mowa w zdaniu pierwszym, pisemną informację o przetwarzaniu jej danych osobowych, co może nastąpić w szczególności przez przekazanie osobie fizycznej </w:t>
      </w:r>
      <w:r>
        <w:rPr>
          <w:rFonts w:cs="Calibri" w:ascii="Calibri" w:hAnsi="Calibri" w:asciiTheme="minorHAnsi" w:cstheme="minorHAnsi" w:hAnsiTheme="minorHAnsi"/>
          <w:bCs/>
        </w:rPr>
        <w:t>formularza przetwarzania danych osobowych</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rPr>
        <w:t xml:space="preserve">zgodnego z ustalonym przez gminę/powiat wzorem. Podpisany egzemplarz informacji lub formularza gmina/powiat zachowa w dokumentacji finansowo-rzeczowej dotyczącej realizacji umowy. </w:t>
      </w:r>
    </w:p>
    <w:p>
      <w:pPr>
        <w:pStyle w:val="Default"/>
        <w:numPr>
          <w:ilvl w:val="0"/>
          <w:numId w:val="27"/>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 xml:space="preserve">Za realizację obowiązku informacyjnego, o którym mowa w art. 13 lub art. 14 RODO, pełną odpowiedzialność ponosi gmina/powiat. </w:t>
      </w:r>
    </w:p>
    <w:p>
      <w:pPr>
        <w:pStyle w:val="Default"/>
        <w:numPr>
          <w:ilvl w:val="0"/>
          <w:numId w:val="27"/>
        </w:numPr>
        <w:spacing w:lineRule="auto" w:line="360" w:before="0" w:after="56"/>
        <w:ind w:left="357" w:hanging="357"/>
        <w:rPr>
          <w:rFonts w:ascii="Calibri" w:hAnsi="Calibri" w:cs="Calibri" w:asciiTheme="minorHAnsi" w:cstheme="minorHAnsi" w:hAnsiTheme="minorHAnsi"/>
        </w:rPr>
      </w:pPr>
      <w:r>
        <w:rPr>
          <w:rFonts w:cs="Calibri" w:ascii="Calibri" w:hAnsi="Calibri" w:asciiTheme="minorHAnsi" w:cstheme="minorHAnsi" w:hAnsiTheme="minorHAnsi"/>
        </w:rPr>
        <w:t>Gmina/powiat będzie przetwarzać dane osobowe, o których mowa w ust. 1, w celach dotyczących: zadania realizowanego w interesie publicznym, realizacji świadczeń związanych z wykonaniem przedmiotu umowy, realizacji obowiązków wynikających z umowy, rozliczenia otrzymanych środków z Funduszu lub wypełniania obowiązku prawnego.</w:t>
      </w:r>
    </w:p>
    <w:p>
      <w:pPr>
        <w:pStyle w:val="Default"/>
        <w:numPr>
          <w:ilvl w:val="0"/>
          <w:numId w:val="27"/>
        </w:numPr>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Gmina/powiat oświadcza, że ponosi wyłączną odpowiedzialność wobec osób trzecich za szkody powstałe w związku z realizacją umowy.</w:t>
      </w:r>
    </w:p>
    <w:p>
      <w:pPr>
        <w:pStyle w:val="ListParagraph"/>
        <w:numPr>
          <w:ilvl w:val="0"/>
          <w:numId w:val="27"/>
        </w:numPr>
        <w:spacing w:lineRule="auto" w:line="360"/>
        <w:jc w:val="both"/>
        <w:rPr>
          <w:rFonts w:ascii="Calibri" w:hAnsi="Calibri" w:cs="Calibri" w:asciiTheme="minorHAnsi" w:cstheme="minorHAnsi" w:hAnsiTheme="minorHAnsi"/>
          <w:sz w:val="24"/>
          <w:szCs w:val="24"/>
        </w:rPr>
      </w:pPr>
      <w:r>
        <w:rPr>
          <w:rFonts w:cs="Calibri" w:cstheme="minorHAnsi"/>
          <w:sz w:val="24"/>
          <w:szCs w:val="24"/>
        </w:rPr>
        <w:t>Dane osób fizycznych przetwarzane przez gminę/powiat, w szczególności dane osób świadczących usługi na rzecz uczestników Programu, oraz uczestników Programu lub opiekunów prawnych mogą być udostępniane Ministrowi lub wojewodzie m.in. do celów sprawozdawczych czy kontrolnych.</w:t>
      </w:r>
    </w:p>
    <w:p>
      <w:pPr>
        <w:pStyle w:val="ListParagraph"/>
        <w:numPr>
          <w:ilvl w:val="0"/>
          <w:numId w:val="27"/>
        </w:numPr>
        <w:spacing w:lineRule="auto" w:line="360"/>
        <w:jc w:val="both"/>
        <w:rPr>
          <w:rFonts w:ascii="Calibri" w:hAnsi="Calibri" w:cs="Calibri" w:asciiTheme="minorHAnsi" w:cstheme="minorHAnsi" w:hAnsiTheme="minorHAnsi"/>
          <w:sz w:val="24"/>
          <w:szCs w:val="24"/>
        </w:rPr>
      </w:pPr>
      <w:r>
        <w:rPr>
          <w:rFonts w:cs="Calibri" w:cstheme="minorHAnsi"/>
          <w:sz w:val="24"/>
          <w:szCs w:val="24"/>
        </w:rPr>
        <w:t xml:space="preserve">W przypadku udostępniania Ministrowi lub wojewodzie danych osób fizycznych, o których mowa w ust. 5, gmina/powiat zrealizuje w imieniu Ministra lub wojewody obowiązek wynikający z art. 14 RODO i poinformuje te osoby o przetwarzaniu ich danych przez Ministra lub wojewodę. </w:t>
      </w:r>
    </w:p>
    <w:p>
      <w:pPr>
        <w:pStyle w:val="ListParagraph"/>
        <w:numPr>
          <w:ilvl w:val="0"/>
          <w:numId w:val="27"/>
        </w:numPr>
        <w:spacing w:lineRule="auto" w:line="360"/>
        <w:rPr>
          <w:rFonts w:ascii="Calibri" w:hAnsi="Calibri" w:cs="Calibri" w:asciiTheme="minorHAnsi" w:cstheme="minorHAnsi" w:hAnsiTheme="minorHAnsi"/>
          <w:sz w:val="24"/>
          <w:szCs w:val="24"/>
        </w:rPr>
      </w:pPr>
      <w:r>
        <w:rPr>
          <w:rFonts w:cs="Calibri" w:cstheme="minorHAnsi"/>
          <w:sz w:val="24"/>
          <w:szCs w:val="24"/>
        </w:rPr>
        <w:t xml:space="preserve">Zasady określone w ust. 1–6 mają odpowiednie zastosowanie do przetwarzania danych przez wojewodę. </w:t>
      </w:r>
    </w:p>
    <w:p>
      <w:pPr>
        <w:pStyle w:val="Default"/>
        <w:spacing w:lineRule="auto" w:line="360" w:before="0" w:after="56"/>
        <w:ind w:left="357" w:hanging="0"/>
        <w:rPr>
          <w:rFonts w:ascii="Calibri" w:hAnsi="Calibri" w:cs="Calibri" w:asciiTheme="minorHAnsi" w:cstheme="minorHAnsi" w:hAnsiTheme="minorHAnsi"/>
        </w:rPr>
      </w:pPr>
      <w:r>
        <w:rPr>
          <w:rFonts w:cs="Calibri" w:cstheme="minorHAnsi" w:ascii="Calibri" w:hAnsi="Calibri"/>
        </w:rPr>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08" w:name="_Toc14868082"/>
      <w:bookmarkStart w:id="109" w:name="_Toc14779260"/>
      <w:bookmarkStart w:id="110" w:name="_Toc14163163"/>
      <w:bookmarkStart w:id="111" w:name="_Toc14098680"/>
      <w:bookmarkStart w:id="112" w:name="_Toc13231237"/>
      <w:bookmarkStart w:id="113" w:name="_Toc11157018"/>
      <w:bookmarkStart w:id="114" w:name="_Toc11156371"/>
      <w:bookmarkStart w:id="115" w:name="_Toc84328142"/>
      <w:bookmarkStart w:id="116" w:name="_Toc81227461"/>
      <w:r>
        <w:rPr>
          <w:rFonts w:eastAsia="Times New Roman" w:cs="Calibri" w:ascii="Calibri" w:hAnsi="Calibri" w:asciiTheme="minorHAnsi" w:cstheme="minorHAnsi" w:hAnsiTheme="minorHAnsi"/>
          <w:b/>
          <w:sz w:val="28"/>
          <w:szCs w:val="28"/>
        </w:rPr>
        <w:t>XI. Zadania podmiotów realizujących Program</w:t>
      </w:r>
      <w:bookmarkEnd w:id="108"/>
      <w:bookmarkEnd w:id="109"/>
      <w:bookmarkEnd w:id="110"/>
      <w:bookmarkEnd w:id="111"/>
      <w:bookmarkEnd w:id="112"/>
      <w:bookmarkEnd w:id="113"/>
      <w:bookmarkEnd w:id="114"/>
      <w:bookmarkEnd w:id="115"/>
      <w:bookmarkEnd w:id="116"/>
    </w:p>
    <w:p>
      <w:pPr>
        <w:pStyle w:val="Normal"/>
        <w:spacing w:lineRule="auto" w:line="360"/>
        <w:rPr>
          <w:rFonts w:ascii="Calibri" w:hAnsi="Calibri" w:cs="Calibri" w:asciiTheme="minorHAnsi" w:cstheme="minorHAnsi" w:hAnsiTheme="minorHAnsi"/>
          <w:sz w:val="24"/>
          <w:szCs w:val="24"/>
        </w:rPr>
      </w:pPr>
      <w:r>
        <w:rPr>
          <w:rFonts w:cs="Calibri" w:cstheme="minorHAnsi"/>
          <w:sz w:val="24"/>
          <w:szCs w:val="24"/>
        </w:rPr>
        <w:t>Do zadań Ministra należy:</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Opracowanie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Ogłoszenie Programu oraz zamieszczenie ogłoszenia o naborze wniosków w Biuletynie Informacji Publicznej na stronie podmiotowej Ministra.</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Weryfikowanie złożonych przez wojewodów list rekomendowanych wniosków i ich zatwierdzenie do finansowania w ramach Programu, w ramach oceny formalno-merytorycznej:</w:t>
      </w:r>
    </w:p>
    <w:p>
      <w:pPr>
        <w:pStyle w:val="ListParagraph"/>
        <w:numPr>
          <w:ilvl w:val="1"/>
          <w:numId w:val="2"/>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sz w:val="24"/>
          <w:szCs w:val="24"/>
        </w:rPr>
        <w:t>wniosek został kompletnie i prawidłowo wypełniony, zgodnie z obowiązującym wzorem, przesłany w terminie i na właściwy adres;</w:t>
      </w:r>
    </w:p>
    <w:p>
      <w:pPr>
        <w:pStyle w:val="ListParagraph"/>
        <w:numPr>
          <w:ilvl w:val="1"/>
          <w:numId w:val="2"/>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sz w:val="24"/>
          <w:szCs w:val="24"/>
        </w:rPr>
        <w:t>wniosek zawiera kalkulację przewidywanych kosztów realizacji zdania, skonstruowaną w jasny i przejrzysty sposób;</w:t>
      </w:r>
    </w:p>
    <w:p>
      <w:pPr>
        <w:pStyle w:val="ListParagraph"/>
        <w:numPr>
          <w:ilvl w:val="1"/>
          <w:numId w:val="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wniosek został złożony przez uprawniony podmiot.</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Opublikowanie w Biuletynie Informacji Publicznej na stronie podmiotowej Ministra zatwierdzonej listy rekomendowanych wniosków do finansowania w ramach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Zawieranie umów z wojewodami w sprawie przekazania środków Funduszu przyznanych w ramach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Przygotowanie wzorów:</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wniosku gminy/powiatu na środki finansowe z Programu, który stanowi załącznik nr 1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wniosku wojewody na środki finansowe z Programu, który stanowi załącznik nr 2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listy rekomendowanych wniosków do finansowania w ramach Programu, który stanowi załącznik nr 3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color w:val="000000"/>
          <w:sz w:val="24"/>
          <w:szCs w:val="24"/>
        </w:rPr>
        <w:t>zestawienia dla gmin/powiatów z realizacji Programu, który stanowi załącznik nr 4 do niniejszego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sprawozdania gmin/powiatów</w:t>
      </w:r>
      <w:r>
        <w:rPr>
          <w:rFonts w:cs="Calibri" w:cstheme="minorHAnsi"/>
          <w:sz w:val="22"/>
          <w:szCs w:val="22"/>
        </w:rPr>
        <w:t xml:space="preserve"> </w:t>
      </w:r>
      <w:r>
        <w:rPr>
          <w:rFonts w:cs="Calibri" w:cstheme="minorHAnsi"/>
          <w:sz w:val="24"/>
          <w:szCs w:val="24"/>
        </w:rPr>
        <w:t>z realizacji  Programu, który stanowi załącznik nr 5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sprawozdania wojewody z realizacji Programu, który stanowi załącznik nr 6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oświadczenia o przyjęciu środków finansowych z Programu, który stanowi załącznik nr 7 do Programu;</w:t>
      </w:r>
    </w:p>
    <w:p>
      <w:pPr>
        <w:pStyle w:val="ListParagraph"/>
        <w:numPr>
          <w:ilvl w:val="0"/>
          <w:numId w:val="10"/>
        </w:numPr>
        <w:spacing w:lineRule="auto" w:line="360" w:before="0" w:after="0"/>
        <w:ind w:left="567" w:hanging="283"/>
        <w:contextualSpacing/>
        <w:rPr>
          <w:rFonts w:ascii="Calibri" w:hAnsi="Calibri" w:cs="Calibri" w:asciiTheme="minorHAnsi" w:cstheme="minorHAnsi" w:hAnsiTheme="minorHAnsi"/>
          <w:sz w:val="24"/>
          <w:szCs w:val="24"/>
        </w:rPr>
      </w:pPr>
      <w:r>
        <w:rPr>
          <w:rFonts w:cs="Calibri" w:cstheme="minorHAnsi"/>
          <w:sz w:val="24"/>
          <w:szCs w:val="24"/>
        </w:rPr>
        <w:t>karty zgłoszenia do Programu, który stanowi załącznik nr 8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karty zakresu usług asystenta do Programu, który stanowi załącznik nr 9 do Programu;</w:t>
      </w:r>
    </w:p>
    <w:p>
      <w:pPr>
        <w:pStyle w:val="ListParagraph"/>
        <w:numPr>
          <w:ilvl w:val="0"/>
          <w:numId w:val="10"/>
        </w:numPr>
        <w:spacing w:lineRule="auto" w:line="360" w:before="0" w:after="200"/>
        <w:ind w:left="567" w:hanging="283"/>
        <w:contextualSpacing/>
        <w:rPr>
          <w:rFonts w:ascii="Calibri" w:hAnsi="Calibri" w:cs="Calibri" w:asciiTheme="minorHAnsi" w:cstheme="minorHAnsi" w:hAnsiTheme="minorHAnsi"/>
          <w:sz w:val="24"/>
          <w:szCs w:val="24"/>
        </w:rPr>
      </w:pPr>
      <w:r>
        <w:rPr>
          <w:rFonts w:cs="Calibri" w:cstheme="minorHAnsi"/>
          <w:sz w:val="24"/>
          <w:szCs w:val="24"/>
        </w:rPr>
        <w:t>karty realizacji usług asystenta w ramach Programu, który stanowi załącznik nr 10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sz w:val="24"/>
          <w:szCs w:val="24"/>
        </w:rPr>
        <w:t>ewidencji przebiegu pojazdu w ramach Programu, który stanowi załącznik nr 11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karty oceny wniosku gminy/powiatu w ramach Programu, który stanowi załącznik nr 12 do Programu,</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klauzuli </w:t>
      </w:r>
      <w:r>
        <w:rPr>
          <w:rStyle w:val="Wyrnienie"/>
          <w:rFonts w:cs="Calibri" w:cstheme="minorHAnsi"/>
          <w:i w:val="false"/>
          <w:sz w:val="24"/>
          <w:szCs w:val="24"/>
        </w:rPr>
        <w:t xml:space="preserve">informacyjnej w ramach </w:t>
      </w:r>
      <w:bookmarkStart w:id="117" w:name="_Hlk68695840"/>
      <w:r>
        <w:rPr>
          <w:rStyle w:val="Wyrnienie"/>
          <w:rFonts w:cs="Calibri" w:cstheme="minorHAnsi"/>
          <w:i w:val="false"/>
          <w:sz w:val="24"/>
          <w:szCs w:val="24"/>
        </w:rPr>
        <w:t xml:space="preserve">Programu dla gminy/powiatu, </w:t>
      </w:r>
      <w:r>
        <w:rPr>
          <w:rFonts w:cs="Calibri" w:cstheme="minorHAnsi"/>
          <w:color w:val="000000"/>
          <w:sz w:val="24"/>
          <w:szCs w:val="24"/>
        </w:rPr>
        <w:t xml:space="preserve">który stanowi załącznik nr 13 do Programu, </w:t>
      </w:r>
    </w:p>
    <w:p>
      <w:pPr>
        <w:pStyle w:val="ListParagraph"/>
        <w:numPr>
          <w:ilvl w:val="0"/>
          <w:numId w:val="10"/>
        </w:numPr>
        <w:spacing w:lineRule="auto" w:line="360" w:before="0" w:after="200"/>
        <w:ind w:left="567"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klauzuli </w:t>
      </w:r>
      <w:r>
        <w:rPr>
          <w:rStyle w:val="Wyrnienie"/>
          <w:rFonts w:cs="Calibri" w:cstheme="minorHAnsi"/>
          <w:i w:val="false"/>
          <w:sz w:val="24"/>
          <w:szCs w:val="24"/>
        </w:rPr>
        <w:t xml:space="preserve">informacyjnej w ramach Programu Ministra Rodziny i Polityki Społecznej, </w:t>
      </w:r>
      <w:r>
        <w:rPr>
          <w:rFonts w:cs="Calibri" w:cstheme="minorHAnsi"/>
          <w:color w:val="000000"/>
          <w:sz w:val="24"/>
          <w:szCs w:val="24"/>
        </w:rPr>
        <w:t>który stanowi załącznik nr 14 do Programu.</w:t>
      </w:r>
      <w:r>
        <w:rPr>
          <w:rStyle w:val="Wyrnienie"/>
          <w:rFonts w:cs="Calibri" w:cstheme="minorHAnsi"/>
          <w:b/>
        </w:rPr>
        <w:t xml:space="preserve"> </w:t>
      </w:r>
      <w:bookmarkEnd w:id="117"/>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Monitorowanie i kontrola realizacji zadań wojewodów wynikających z Programu.</w:t>
      </w:r>
    </w:p>
    <w:p>
      <w:pPr>
        <w:pStyle w:val="ListParagraph"/>
        <w:numPr>
          <w:ilvl w:val="0"/>
          <w:numId w:val="9"/>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Akceptowanie sprawozdań składanych przez wojewodów.</w:t>
      </w:r>
    </w:p>
    <w:p>
      <w:pPr>
        <w:pStyle w:val="ListParagraph"/>
        <w:numPr>
          <w:ilvl w:val="0"/>
          <w:numId w:val="9"/>
        </w:numPr>
        <w:spacing w:lineRule="auto" w:line="360" w:before="0" w:after="60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Sporządzanie rocznego sprawozdania z realizacji Programu na podstawie sprawozdań przekazanych przez wojewodów.</w:t>
      </w:r>
    </w:p>
    <w:p>
      <w:pPr>
        <w:pStyle w:val="ListParagraph"/>
        <w:spacing w:lineRule="auto" w:line="360" w:before="0" w:after="72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spacing w:lineRule="auto" w:line="360" w:before="480" w:after="0"/>
        <w:ind w:left="284" w:hanging="0"/>
        <w:contextualSpacing/>
        <w:rPr>
          <w:rFonts w:ascii="Calibri" w:hAnsi="Calibri" w:cs="Calibri" w:asciiTheme="minorHAnsi" w:cstheme="minorHAnsi" w:hAnsiTheme="minorHAnsi"/>
          <w:sz w:val="24"/>
          <w:szCs w:val="24"/>
        </w:rPr>
      </w:pPr>
      <w:r>
        <w:rPr>
          <w:rFonts w:cs="Calibri" w:cstheme="minorHAnsi"/>
          <w:sz w:val="24"/>
          <w:szCs w:val="24"/>
        </w:rPr>
        <w:t>Do zadań wojewody należy:</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sz w:val="24"/>
          <w:szCs w:val="24"/>
        </w:rPr>
        <w:t xml:space="preserve">Ogłoszenie </w:t>
      </w:r>
      <w:r>
        <w:rPr>
          <w:rFonts w:cs="Calibri" w:cstheme="minorHAnsi"/>
          <w:color w:val="000000"/>
          <w:sz w:val="24"/>
          <w:szCs w:val="24"/>
        </w:rPr>
        <w:t>o naborze wniosków w Biuletynie Informacji Publicznej na stronie podmiotowej właściwego wojewody.</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Udzielanie informacji o zasadach Programu i warunkach naboru wniosków.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 </w:t>
      </w:r>
      <w:r>
        <w:rPr>
          <w:rFonts w:cs="Calibri" w:cstheme="minorHAnsi"/>
          <w:sz w:val="24"/>
          <w:szCs w:val="24"/>
        </w:rPr>
        <w:t>Przeprowadzenie naboru wniosków.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na środki finansowe z Programu pod względem formalnym, merytorycznym oraz pod względem racjonalnego i celowego wydatkowania środków.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Ocena wniosków gmin/powiatów, o której mowa w pkt 4 powinna być dokonana na podstawie Karty oceny wniosku gminy/powiatu w ramach Programu, stanowiącej załącznik nr 12 do niniejszego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Sporządzenie i przekazanie Ministrowi wniosku wojewody na środki finansowe z Programu wraz z listą rekomendowanych wniosków, stanowiących załączniki nr 2 i 3 do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Informowanie gmin/powiatów o obowiązku i terminie złożenia oświadczenia o przyjęciu lub rezygnacji ze środków przyznanych w ramach Programu.</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Zawieranie umów z właściwymi gminami/powiatami w terminie 30 dni od podpisania umowy z Ministrem.</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Przekazanie gminom/powiatom środków finansowych.</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Analizowanie oraz rozliczanie środków finansowych przyznanych gminom/powiatom na realizację Programu i koszty jego obsługi.</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Przekazanie Ministrowi rocznego sprawozdania z realizacji Programu dla wojewodów.</w:t>
      </w:r>
    </w:p>
    <w:p>
      <w:pPr>
        <w:pStyle w:val="ListParagraph"/>
        <w:numPr>
          <w:ilvl w:val="0"/>
          <w:numId w:val="11"/>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Koordynacja, nadzór oraz kontrola zadań realizowanych przez gminę/powiat w ramach Programu.</w:t>
      </w:r>
    </w:p>
    <w:p>
      <w:pPr>
        <w:pStyle w:val="ListParagraph"/>
        <w:spacing w:lineRule="auto" w:line="360" w:before="0" w:after="0"/>
        <w:ind w:left="284" w:hanging="0"/>
        <w:contextualSpacing/>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ind w:left="284" w:hanging="284"/>
        <w:rPr>
          <w:rFonts w:ascii="Calibri" w:hAnsi="Calibri" w:cs="Calibri" w:asciiTheme="minorHAnsi" w:cstheme="minorHAnsi" w:hAnsiTheme="minorHAnsi"/>
          <w:sz w:val="24"/>
          <w:szCs w:val="24"/>
        </w:rPr>
      </w:pPr>
      <w:r>
        <w:rPr>
          <w:rFonts w:cs="Calibri" w:cstheme="minorHAnsi"/>
          <w:sz w:val="24"/>
          <w:szCs w:val="24"/>
        </w:rPr>
        <w:t>Do zadań gminy/powiatu należy:</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Poinformowanie o ogłoszeniu o naborze wniosków na stronie podmiotowej właściwej gminy/powiatu.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Składanie wniosku gmin/powiatu na środki finansowe z Programu do właściwego wojewody.</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Niezwłocznie po ogłoszeniu wyników naboru wniosków złożenie do wojewody oświadczenia o przyjęciu bądź rezygnacji ze środków finansowych przyznanych w ramach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Koordynowanie realizacji Programu w gminie/powiecie.</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Realizowanie zadań zgodnie z Programem oraz zgodnie z zawartymi  umowami w zakresie wysokości i trybu przekazywania środków Funduszu.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Rozliczenie z wojewodą otrzymanych środków finansowych oraz poddanie się kontroli zgodnie z umową.</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Przedstawienie na żądanie wojewody wyjaśnień, informacji i dokumentów dotyczących zadań realizowanych w ramach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Przekazywanie właściwemu wojewodzie zestawienia z realizacji Programu według wzoru stanowiącego załącznik nr 4 Programu.</w:t>
      </w:r>
    </w:p>
    <w:p>
      <w:pPr>
        <w:pStyle w:val="ListParagraph"/>
        <w:numPr>
          <w:ilvl w:val="0"/>
          <w:numId w:val="12"/>
        </w:numPr>
        <w:spacing w:lineRule="auto" w:line="360" w:before="0" w:after="0"/>
        <w:ind w:left="284" w:hanging="284"/>
        <w:contextualSpacing/>
        <w:rPr>
          <w:rFonts w:ascii="Calibri" w:hAnsi="Calibri" w:cs="Calibri" w:asciiTheme="minorHAnsi" w:cstheme="minorHAnsi" w:hAnsiTheme="minorHAnsi"/>
          <w:sz w:val="24"/>
          <w:szCs w:val="24"/>
        </w:rPr>
      </w:pPr>
      <w:r>
        <w:rPr>
          <w:rFonts w:cs="Calibri" w:cstheme="minorHAnsi"/>
          <w:color w:val="000000"/>
          <w:sz w:val="24"/>
          <w:szCs w:val="24"/>
        </w:rPr>
        <w:t>Przekazywanie, właściwemu wojewodzie, sprawozdania z realizacji Programu według wzoru stanowiącego załącznik nr 5 Programu.</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W przypadku zlecania realizacji usług asystenta przez gminę/powiat podmiotom, o których mowa w dziale V, gmina/powiat są obowiązane do koordynacji, nadzoru, kontroli zadań oraz sposobu wykorzystania środków zgodnie z Programem. Ponadto gmina/powiat są obowiązane do zawarcia  umów z ww. podmiotami (umowy powinny zawierać wzory sprawozdań).</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Prowadzenie dokumentacji potwierdzającej realizację Programu.</w:t>
      </w:r>
    </w:p>
    <w:p>
      <w:pPr>
        <w:pStyle w:val="ListParagraph"/>
        <w:widowControl w:val="false"/>
        <w:numPr>
          <w:ilvl w:val="0"/>
          <w:numId w:val="12"/>
        </w:numPr>
        <w:spacing w:lineRule="auto" w:line="360" w:before="0" w:after="0"/>
        <w:contextualSpacing/>
        <w:rPr>
          <w:rFonts w:cs="Calibri"/>
          <w:sz w:val="24"/>
          <w:szCs w:val="24"/>
        </w:rPr>
      </w:pPr>
      <w:r>
        <w:rPr>
          <w:rFonts w:cs="Calibri"/>
          <w:sz w:val="24"/>
          <w:szCs w:val="24"/>
        </w:rPr>
        <w:t>Informowanie, że zadanie publiczne jest współfinansowane ze środków Funduszu Solidarnościowego otrzymanych od Ministra.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prowadzonych przez Ministerstwo Rodziny i Polityki Społecznej w podejmowanych działaniach informacyjnych i promocyjnych w mediach społecznościowych.</w:t>
      </w:r>
    </w:p>
    <w:p>
      <w:pPr>
        <w:pStyle w:val="ListParagraph"/>
        <w:widowControl w:val="false"/>
        <w:numPr>
          <w:ilvl w:val="0"/>
          <w:numId w:val="12"/>
        </w:numPr>
        <w:spacing w:lineRule="auto" w:line="360" w:before="0" w:after="0"/>
        <w:contextualSpacing/>
        <w:rPr>
          <w:rFonts w:cs="Calibri"/>
          <w:sz w:val="24"/>
          <w:szCs w:val="24"/>
        </w:rPr>
      </w:pPr>
      <w:r>
        <w:rPr>
          <w:rFonts w:cs="Calibri"/>
          <w:sz w:val="24"/>
          <w:szCs w:val="24"/>
        </w:rPr>
        <w:t xml:space="preserve">Umieszczanie logo Ministra na wszystkich materiałach, w szczególności promocyjnych, informacyjnych, szkoleniowych i edukacyjnych, dotyczących realizowanego zadania publicznego oraz zakupionych środkach trwałych, proporcjonalnie do wielkości innych oznaczeń, w sposób zapewniający jego dobrą widoczność. </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color w:val="000000"/>
          <w:sz w:val="24"/>
          <w:szCs w:val="24"/>
        </w:rPr>
        <w:t xml:space="preserve">W ramach informowania, o którym mowa w ust. 12 gmina/powiat </w:t>
      </w:r>
      <w:r>
        <w:rPr>
          <w:rFonts w:cs="Calibri" w:cstheme="minorHAnsi"/>
          <w:spacing w:val="-4"/>
          <w:sz w:val="24"/>
          <w:szCs w:val="24"/>
        </w:rPr>
        <w:t xml:space="preserve">jest obowiązana do podejmowania działań informacyjnych dotyczących finansowania zadania ze środków </w:t>
      </w:r>
      <w:r>
        <w:rPr>
          <w:rFonts w:cs="Calibri" w:cstheme="minorHAnsi"/>
          <w:sz w:val="24"/>
          <w:szCs w:val="24"/>
        </w:rPr>
        <w:t>Funduszu przyznanych w ramach Programu,</w:t>
      </w:r>
      <w:r>
        <w:rPr>
          <w:rFonts w:cs="Calibri" w:cstheme="minorHAnsi"/>
          <w:spacing w:val="-4"/>
          <w:sz w:val="24"/>
          <w:szCs w:val="24"/>
        </w:rPr>
        <w:t xml:space="preserve"> zgodnie z art. 35a ust. 1 ustawy z dnia 27 sierpnia 2009 r. o finansach publicznych </w:t>
      </w:r>
      <w:r>
        <w:rPr>
          <w:rFonts w:cs="Calibri" w:cstheme="minorHAnsi"/>
          <w:sz w:val="24"/>
          <w:szCs w:val="24"/>
        </w:rPr>
        <w:t xml:space="preserve">oraz </w:t>
      </w:r>
      <w:r>
        <w:rPr>
          <w:rFonts w:cs="Calibri" w:cstheme="minorHAnsi"/>
          <w:spacing w:val="-4"/>
          <w:sz w:val="24"/>
          <w:szCs w:val="24"/>
        </w:rPr>
        <w:t>rozporządzeniem Rady Ministrów z dnia 7 maja 2021 r. w sprawie określenia działań informacyjnych podejmowanych przez podmioty realizujące zadania finansowane lub dofinansowane z budżetu państwa lub z państwowych funduszy celowych (Dz. U. poz. 953).</w:t>
      </w:r>
    </w:p>
    <w:p>
      <w:pPr>
        <w:pStyle w:val="ListParagraph"/>
        <w:numPr>
          <w:ilvl w:val="0"/>
          <w:numId w:val="12"/>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Rozpowszechnianie w dowolnej formie, w prasie, radiu, telewizji, Internecie oraz innych publikacjach nazwy Programu, przedmiotu i celu, na który przyznano wsparcie finansowe oraz informacji o wysokości przyznanego wsparcia finansowego.</w:t>
      </w:r>
    </w:p>
    <w:p>
      <w:pPr>
        <w:pStyle w:val="Nagwek1"/>
        <w:spacing w:lineRule="auto" w:line="360" w:before="240" w:after="0"/>
        <w:rPr>
          <w:rFonts w:ascii="Calibri" w:hAnsi="Calibri" w:eastAsia="Times New Roman" w:cs="Calibri" w:asciiTheme="minorHAnsi" w:cstheme="minorHAnsi" w:hAnsiTheme="minorHAnsi"/>
          <w:b/>
          <w:b/>
          <w:sz w:val="28"/>
          <w:szCs w:val="28"/>
        </w:rPr>
      </w:pPr>
      <w:bookmarkStart w:id="118" w:name="_Toc84328143"/>
      <w:bookmarkStart w:id="119" w:name="_Toc81227462"/>
      <w:bookmarkStart w:id="120" w:name="_Toc14868083"/>
      <w:bookmarkStart w:id="121" w:name="_Toc14779261"/>
      <w:bookmarkStart w:id="122" w:name="_Toc14163164"/>
      <w:bookmarkStart w:id="123" w:name="_Toc14098681"/>
      <w:bookmarkStart w:id="124" w:name="_Toc13231238"/>
      <w:bookmarkStart w:id="125" w:name="_Toc11157019"/>
      <w:bookmarkStart w:id="126" w:name="_Toc11156372"/>
      <w:r>
        <w:rPr>
          <w:rFonts w:eastAsia="Times New Roman" w:cs="Calibri" w:ascii="Calibri" w:hAnsi="Calibri" w:asciiTheme="minorHAnsi" w:cstheme="minorHAnsi" w:hAnsiTheme="minorHAnsi"/>
          <w:b/>
          <w:sz w:val="28"/>
          <w:szCs w:val="28"/>
        </w:rPr>
        <w:t>XII. Monitoring Programu</w:t>
      </w:r>
      <w:bookmarkEnd w:id="118"/>
      <w:bookmarkEnd w:id="119"/>
      <w:bookmarkEnd w:id="120"/>
      <w:bookmarkEnd w:id="121"/>
      <w:bookmarkEnd w:id="122"/>
      <w:bookmarkEnd w:id="123"/>
      <w:bookmarkEnd w:id="124"/>
      <w:bookmarkEnd w:id="125"/>
      <w:bookmarkEnd w:id="126"/>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sz w:val="24"/>
          <w:szCs w:val="24"/>
        </w:rPr>
        <w:t>Gmina/</w:t>
      </w:r>
      <w:r>
        <w:rPr>
          <w:rFonts w:cs="Calibri" w:cstheme="minorHAnsi"/>
          <w:color w:val="000000"/>
          <w:sz w:val="24"/>
          <w:szCs w:val="24"/>
        </w:rPr>
        <w:t>powiat przekazuje do wojewody zestawienie z realizacji Programu w terminie 15 dni od dnia zakończenia realizacji Programu.</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Gmina/powiat przekazuje do wojewody sprawozdanie z realizacji Programu, obejmujące rozliczenie środków z Funduszu w zakresie rzeczowym i finansowym, w terminie 30 dni od dnia zakończenia realizacji Programu.</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Wojewoda przekazuje do Ministra sprawozdanie z realizacji Programu, obejmujące rozliczenie środków z Funduszu w zakresie rzeczowym i finansowym, w terminie 30 dni od dnia zakończenia realizacji zadania.</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Akceptacja sprawozdań złożonych przez wojewodów następuje w terminie do dnia 31 marca 2023 r.</w:t>
      </w:r>
    </w:p>
    <w:p>
      <w:pPr>
        <w:pStyle w:val="ListParagraph"/>
        <w:numPr>
          <w:ilvl w:val="0"/>
          <w:numId w:val="1"/>
        </w:numPr>
        <w:spacing w:lineRule="auto" w:line="360" w:before="0" w:after="200"/>
        <w:ind w:left="284" w:hanging="284"/>
        <w:contextualSpacing/>
        <w:rPr>
          <w:rFonts w:ascii="Calibri" w:hAnsi="Calibri" w:cs="Calibri" w:asciiTheme="minorHAnsi" w:cstheme="minorHAnsi" w:hAnsiTheme="minorHAnsi"/>
        </w:rPr>
      </w:pPr>
      <w:r>
        <w:rPr>
          <w:rFonts w:cs="Calibri" w:cstheme="minorHAnsi"/>
          <w:color w:val="000000"/>
          <w:sz w:val="24"/>
          <w:szCs w:val="24"/>
        </w:rPr>
        <w:t>Sporządzenie sprawozdania zbiorczego z realizacji Programu w terminie do dnia 31 maja 2023 r. należy do zadań Ministra.</w:t>
      </w:r>
    </w:p>
    <w:p>
      <w:pPr>
        <w:sectPr>
          <w:footerReference w:type="default" r:id="rId2"/>
          <w:footnotePr>
            <w:numFmt w:val="decimal"/>
          </w:footnotePr>
          <w:type w:val="nextPage"/>
          <w:pgSz w:w="11906" w:h="16838"/>
          <w:pgMar w:left="1417" w:right="1417" w:header="0" w:top="1417" w:footer="708" w:bottom="1417" w:gutter="0"/>
          <w:pgNumType w:fmt="decimal"/>
          <w:formProt w:val="false"/>
          <w:titlePg/>
          <w:textDirection w:val="lrTb"/>
          <w:docGrid w:type="default" w:linePitch="360" w:charSpace="0"/>
        </w:sectPr>
        <w:pStyle w:val="ListParagraph"/>
        <w:spacing w:lineRule="auto" w:line="360" w:before="2160" w:after="200"/>
        <w:ind w:left="284" w:hanging="0"/>
        <w:contextualSpacing/>
        <w:rPr>
          <w:rFonts w:ascii="Calibri" w:hAnsi="Calibri" w:cs="Calibri" w:asciiTheme="minorHAnsi" w:cstheme="minorHAnsi" w:hAnsiTheme="minorHAnsi"/>
        </w:rPr>
      </w:pPr>
      <w:r>
        <w:rPr>
          <w:rFonts w:cs="Calibri" w:cstheme="minorHAnsi"/>
        </w:rPr>
      </w:r>
    </w:p>
    <w:p>
      <w:pPr>
        <w:pStyle w:val="ListParagraph"/>
        <w:spacing w:lineRule="auto" w:line="360" w:before="2160" w:after="200"/>
        <w:ind w:left="284" w:hanging="0"/>
        <w:contextualSpacing/>
        <w:rPr>
          <w:rFonts w:ascii="Calibri" w:hAnsi="Calibri" w:cs="Calibri" w:asciiTheme="minorHAnsi" w:cstheme="minorHAnsi" w:hAnsiTheme="minorHAnsi"/>
        </w:rPr>
      </w:pPr>
      <w:bookmarkStart w:id="127" w:name="_GoBack"/>
      <w:bookmarkEnd w:id="127"/>
      <w:r>
        <w:rPr>
          <w:rFonts w:cs="Calibri" w:cstheme="minorHAnsi"/>
        </w:rPr>
        <w:t>Załączniki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wniosku gminy/powiatu na środki finansowe z Programu „Asystent osobisty osoby niepełnosprawnej” – edycja 2022 (załącznik nr 1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wniosku wojewody na środki finansowe z Programu „Asystent osobisty osoby niepełnosprawnej” – edycja 2022 (załącznik nr 2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 xml:space="preserve"> </w:t>
      </w:r>
      <w:r>
        <w:rPr>
          <w:rFonts w:cs="Calibri" w:cstheme="minorHAnsi"/>
        </w:rPr>
        <w:t>Wzór listy rekomendowanych wniosków do finansowania w ramach Programu „Asystent osobisty osoby niepełnosprawnej” – edycja 2022 (załącznik nr 3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 xml:space="preserve">Wzór </w:t>
      </w:r>
      <w:r>
        <w:rPr>
          <w:rFonts w:cs="Calibri" w:cstheme="minorHAnsi"/>
          <w:color w:val="000000"/>
        </w:rPr>
        <w:t xml:space="preserve">zestawienia dla gmin/powiatów z realizacji Programu </w:t>
      </w:r>
      <w:r>
        <w:rPr>
          <w:rFonts w:cs="Calibri" w:cstheme="minorHAnsi"/>
        </w:rPr>
        <w:t>„Asystent osobisty osoby niepełnosprawnej” – edycja 2022</w:t>
      </w:r>
      <w:r>
        <w:rPr>
          <w:rFonts w:cs="Calibri" w:cstheme="minorHAnsi"/>
          <w:color w:val="000000"/>
        </w:rPr>
        <w:t xml:space="preserve"> (załącznik nr 4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sprawozdania gminy/powiatu z realizacji  Programu „Asystent osobisty osoby niepełnosprawnej” ‒ edycja 2022 (załącznik nr 5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sprawozdania wojewody z realizacji Pr</w:t>
      </w:r>
      <w:r>
        <w:rPr/>
        <w:t>ogramu „Asystent osobisty osoby niepełnosprawnej” – edycja 2022 (załącznik nr 6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oświadczenia o przyjęciu środków finansowych z Programu „Asystent osobisty osoby niepełnosprawnej” – edycja 2022 (załącznik nr 7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zgłoszenia do Programu „Asystent osobisty osoby niepełnosprawnej” – edycja 2022 (załącznik nr 8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zakresu usług asystenta w ramach Programu „Asystent osobisty osoby niepełnosprawnej” – edycja 2022 (załącznik nr 9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karty realizacji usług asystenta w ramach Programu „Asystent osobisty osoby niepełnosprawnej" – edycja 2022 (załącznik nr 10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rPr>
        <w:t>Wzór ewidencji przebiegu pojazdu w ramach Programu „Asystent osobisty osoby niepełnosprawnej” – edycja 2022 (załącznik nr 11 do Programu),</w:t>
      </w:r>
    </w:p>
    <w:p>
      <w:pPr>
        <w:pStyle w:val="ListParagraph"/>
        <w:numPr>
          <w:ilvl w:val="0"/>
          <w:numId w:val="31"/>
        </w:numPr>
        <w:spacing w:lineRule="auto" w:line="360"/>
        <w:rPr>
          <w:rFonts w:ascii="Calibri" w:hAnsi="Calibri" w:cs="Calibri" w:asciiTheme="minorHAnsi" w:cstheme="minorHAnsi" w:hAnsiTheme="minorHAnsi"/>
          <w:color w:val="000000"/>
        </w:rPr>
      </w:pPr>
      <w:r>
        <w:rPr>
          <w:rFonts w:cs="Calibri" w:cstheme="minorHAnsi"/>
          <w:color w:val="000000"/>
        </w:rPr>
        <w:t>Wzór karty oceny wniosku gminy/powiatu w ramach Programu „Asystent osobisty osoby niepełnosprawnej” – edycja 2022 (załącznik nr 12 do Programu),</w:t>
      </w:r>
    </w:p>
    <w:p>
      <w:pPr>
        <w:pStyle w:val="ListParagraph"/>
        <w:numPr>
          <w:ilvl w:val="0"/>
          <w:numId w:val="31"/>
        </w:numPr>
        <w:spacing w:lineRule="auto" w:line="360"/>
        <w:rPr>
          <w:rFonts w:ascii="Calibri" w:hAnsi="Calibri" w:cs="Calibri" w:asciiTheme="minorHAnsi" w:cstheme="minorHAnsi" w:hAnsiTheme="minorHAnsi"/>
          <w:color w:val="000000"/>
        </w:rPr>
      </w:pPr>
      <w:r>
        <w:rPr>
          <w:rFonts w:cs="Calibri" w:cstheme="minorHAnsi"/>
          <w:color w:val="000000"/>
        </w:rPr>
        <w:t>Wzór klauzuli informacyjnej w ramach Programu „Asystent osobisty osoby niepełnosprawnej” – edycja 2022 dla gminy/powiatu (załącznik nr 13 do Programu),</w:t>
      </w:r>
    </w:p>
    <w:p>
      <w:pPr>
        <w:pStyle w:val="ListParagraph"/>
        <w:numPr>
          <w:ilvl w:val="0"/>
          <w:numId w:val="31"/>
        </w:numPr>
        <w:spacing w:lineRule="auto" w:line="360"/>
        <w:rPr>
          <w:rFonts w:ascii="Calibri" w:hAnsi="Calibri" w:cs="Calibri" w:asciiTheme="minorHAnsi" w:cstheme="minorHAnsi" w:hAnsiTheme="minorHAnsi"/>
        </w:rPr>
      </w:pPr>
      <w:r>
        <w:rPr>
          <w:rFonts w:cs="Calibri" w:cstheme="minorHAnsi"/>
          <w:color w:val="000000"/>
        </w:rPr>
        <w:t>Wzór klauzuli informacyjnej w ramach Programu „Asystent osobisty osoby niepełnosprawnej” – edycja 2022 Ministra Rodziny i Polityki Społecznej (załącznik nr 14 do Programu).</w:t>
      </w:r>
      <w:r>
        <w:rPr>
          <w:rFonts w:cs="Calibri" w:cstheme="minorHAnsi"/>
        </w:rPr>
        <w:t xml:space="preserve"> </w:t>
      </w:r>
    </w:p>
    <w:sectPr>
      <w:footerReference w:type="default" r:id="rId3"/>
      <w:footnotePr>
        <w:numFmt w:val="decimal"/>
      </w:footnotePr>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mbria">
    <w:charset w:val="ee"/>
    <w:family w:val="roman"/>
    <w:pitch w:val="variable"/>
  </w:font>
  <w:font w:name="Nanum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fldChar w:fldCharType="begin"/>
    </w:r>
    <w:r>
      <w:rPr/>
      <w:instrText> PAGE </w:instrText>
    </w:r>
    <w:r>
      <w:rPr/>
      <w:fldChar w:fldCharType="separate"/>
    </w:r>
    <w:r>
      <w:rPr/>
      <w:t>22</w:t>
    </w:r>
    <w:r>
      <w:rPr/>
      <w:fldChar w:fldCharType="end"/>
    </w:r>
  </w:p>
  <w:p>
    <w:pPr>
      <w:pStyle w:val="Stopka"/>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sz w:val="22"/>
        <w:szCs w:val="22"/>
      </w:rPr>
    </w:pPr>
    <w:r>
      <w:rPr/>
      <w:fldChar w:fldCharType="begin"/>
    </w:r>
    <w:r>
      <w:rPr/>
      <w:instrText> PAGE </w:instrText>
    </w:r>
    <w:r>
      <w:rPr/>
      <w:fldChar w:fldCharType="separate"/>
    </w:r>
    <w:r>
      <w:rPr/>
      <w:t>0</w:t>
    </w:r>
    <w:r>
      <w:rPr/>
      <w:fldChar w:fldCharType="end"/>
    </w:r>
  </w:p>
  <w:p>
    <w:pPr>
      <w:pStyle w:val="Stopka"/>
      <w:rPr>
        <w:sz w:val="22"/>
        <w:szCs w:val="22"/>
      </w:rPr>
    </w:pPr>
    <w:r>
      <w:rPr>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asciiTheme="minorHAnsi" w:cstheme="minorHAnsi" w:hAnsiTheme="minorHAnsi"/>
        </w:rPr>
      </w:pPr>
      <w:r>
        <w:rPr>
          <w:rStyle w:val="Znakiprzypiswdolnych"/>
        </w:rPr>
        <w:footnoteRef/>
      </w:r>
      <w:r>
        <w:rPr>
          <w:rFonts w:cs="Calibri" w:cstheme="minorHAnsi"/>
          <w:vertAlign w:val="superscript"/>
        </w:rPr>
        <w:t xml:space="preserve">) </w:t>
      </w:r>
      <w:r>
        <w:rPr>
          <w:rFonts w:cs="Calibri"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pod symbolem 341201 w ramach grupy: Pracownicy wsparcia rodziny, pomocy społecznej i pracy socjalnej (symbol 3412).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644" w:hanging="360"/>
      </w:pPr>
      <w:rPr>
        <w:sz w:val="24"/>
        <w:shd w:fill="auto" w:val="clear"/>
        <w:szCs w:val="20"/>
        <w:w w:val="1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337" w:hanging="360"/>
      </w:pPr>
    </w:lvl>
    <w:lvl w:ilvl="1">
      <w:start w:val="1"/>
      <w:numFmt w:val="lowerLetter"/>
      <w:lvlText w:val="%2."/>
      <w:lvlJc w:val="left"/>
      <w:pPr>
        <w:tabs>
          <w:tab w:val="num" w:pos="0"/>
        </w:tabs>
        <w:ind w:left="4057" w:hanging="360"/>
      </w:pPr>
    </w:lvl>
    <w:lvl w:ilvl="2">
      <w:start w:val="1"/>
      <w:numFmt w:val="lowerRoman"/>
      <w:lvlText w:val="%3."/>
      <w:lvlJc w:val="right"/>
      <w:pPr>
        <w:tabs>
          <w:tab w:val="num" w:pos="0"/>
        </w:tabs>
        <w:ind w:left="4777" w:hanging="180"/>
      </w:pPr>
    </w:lvl>
    <w:lvl w:ilvl="3">
      <w:start w:val="1"/>
      <w:numFmt w:val="decimal"/>
      <w:lvlText w:val="%4."/>
      <w:lvlJc w:val="left"/>
      <w:pPr>
        <w:tabs>
          <w:tab w:val="num" w:pos="0"/>
        </w:tabs>
        <w:ind w:left="5497" w:hanging="360"/>
      </w:pPr>
    </w:lvl>
    <w:lvl w:ilvl="4">
      <w:start w:val="1"/>
      <w:numFmt w:val="lowerLetter"/>
      <w:lvlText w:val="%5."/>
      <w:lvlJc w:val="left"/>
      <w:pPr>
        <w:tabs>
          <w:tab w:val="num" w:pos="0"/>
        </w:tabs>
        <w:ind w:left="6217" w:hanging="360"/>
      </w:pPr>
    </w:lvl>
    <w:lvl w:ilvl="5">
      <w:start w:val="1"/>
      <w:numFmt w:val="lowerRoman"/>
      <w:lvlText w:val="%6."/>
      <w:lvlJc w:val="right"/>
      <w:pPr>
        <w:tabs>
          <w:tab w:val="num" w:pos="0"/>
        </w:tabs>
        <w:ind w:left="6937" w:hanging="180"/>
      </w:pPr>
    </w:lvl>
    <w:lvl w:ilvl="6">
      <w:start w:val="1"/>
      <w:numFmt w:val="decimal"/>
      <w:lvlText w:val="%7."/>
      <w:lvlJc w:val="left"/>
      <w:pPr>
        <w:tabs>
          <w:tab w:val="num" w:pos="0"/>
        </w:tabs>
        <w:ind w:left="7657" w:hanging="360"/>
      </w:pPr>
    </w:lvl>
    <w:lvl w:ilvl="7">
      <w:start w:val="1"/>
      <w:numFmt w:val="lowerLetter"/>
      <w:lvlText w:val="%8."/>
      <w:lvlJc w:val="left"/>
      <w:pPr>
        <w:tabs>
          <w:tab w:val="num" w:pos="0"/>
        </w:tabs>
        <w:ind w:left="8377" w:hanging="360"/>
      </w:pPr>
    </w:lvl>
    <w:lvl w:ilvl="8">
      <w:start w:val="1"/>
      <w:numFmt w:val="lowerRoman"/>
      <w:lvlText w:val="%9."/>
      <w:lvlJc w:val="right"/>
      <w:pPr>
        <w:tabs>
          <w:tab w:val="num" w:pos="0"/>
        </w:tabs>
        <w:ind w:left="9097"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644"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6">
    <w:lvl w:ilvl="0">
      <w:start w:val="1"/>
      <w:numFmt w:val="decimal"/>
      <w:lvlText w:val="%1)"/>
      <w:lvlJc w:val="left"/>
      <w:pPr>
        <w:tabs>
          <w:tab w:val="num" w:pos="0"/>
        </w:tabs>
        <w:ind w:left="720" w:hanging="360"/>
      </w:pPr>
      <w:rPr>
        <w:sz w:val="24"/>
        <w:shd w:fill="auto" w:val="clear"/>
        <w:szCs w:val="20"/>
        <w:w w:val="1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1069" w:hanging="360"/>
      </w:pPr>
    </w:lvl>
    <w:lvl w:ilvl="1">
      <w:start w:val="1"/>
      <w:numFmt w:val="lowerLetter"/>
      <w:lvlText w:val="%2."/>
      <w:lvlJc w:val="left"/>
      <w:pPr>
        <w:tabs>
          <w:tab w:val="num" w:pos="0"/>
        </w:tabs>
        <w:ind w:left="1278" w:hanging="360"/>
      </w:pPr>
    </w:lvl>
    <w:lvl w:ilvl="2">
      <w:start w:val="1"/>
      <w:numFmt w:val="lowerRoman"/>
      <w:lvlText w:val="%3."/>
      <w:lvlJc w:val="right"/>
      <w:pPr>
        <w:tabs>
          <w:tab w:val="num" w:pos="0"/>
        </w:tabs>
        <w:ind w:left="1998" w:hanging="180"/>
      </w:pPr>
    </w:lvl>
    <w:lvl w:ilvl="3">
      <w:start w:val="1"/>
      <w:numFmt w:val="decimal"/>
      <w:lvlText w:val="%4."/>
      <w:lvlJc w:val="left"/>
      <w:pPr>
        <w:tabs>
          <w:tab w:val="num" w:pos="0"/>
        </w:tabs>
        <w:ind w:left="2718" w:hanging="360"/>
      </w:pPr>
    </w:lvl>
    <w:lvl w:ilvl="4">
      <w:start w:val="1"/>
      <w:numFmt w:val="lowerLetter"/>
      <w:lvlText w:val="%5."/>
      <w:lvlJc w:val="left"/>
      <w:pPr>
        <w:tabs>
          <w:tab w:val="num" w:pos="0"/>
        </w:tabs>
        <w:ind w:left="3438" w:hanging="360"/>
      </w:pPr>
    </w:lvl>
    <w:lvl w:ilvl="5">
      <w:start w:val="1"/>
      <w:numFmt w:val="lowerRoman"/>
      <w:lvlText w:val="%6."/>
      <w:lvlJc w:val="right"/>
      <w:pPr>
        <w:tabs>
          <w:tab w:val="num" w:pos="0"/>
        </w:tabs>
        <w:ind w:left="4158" w:hanging="180"/>
      </w:pPr>
    </w:lvl>
    <w:lvl w:ilvl="6">
      <w:start w:val="1"/>
      <w:numFmt w:val="decimal"/>
      <w:lvlText w:val="%7."/>
      <w:lvlJc w:val="left"/>
      <w:pPr>
        <w:tabs>
          <w:tab w:val="num" w:pos="0"/>
        </w:tabs>
        <w:ind w:left="4878" w:hanging="360"/>
      </w:pPr>
    </w:lvl>
    <w:lvl w:ilvl="7">
      <w:start w:val="1"/>
      <w:numFmt w:val="lowerLetter"/>
      <w:lvlText w:val="%8."/>
      <w:lvlJc w:val="left"/>
      <w:pPr>
        <w:tabs>
          <w:tab w:val="num" w:pos="0"/>
        </w:tabs>
        <w:ind w:left="5598" w:hanging="360"/>
      </w:pPr>
    </w:lvl>
    <w:lvl w:ilvl="8">
      <w:start w:val="1"/>
      <w:numFmt w:val="lowerRoman"/>
      <w:lvlText w:val="%9."/>
      <w:lvlJc w:val="right"/>
      <w:pPr>
        <w:tabs>
          <w:tab w:val="num" w:pos="0"/>
        </w:tabs>
        <w:ind w:left="6318" w:hanging="180"/>
      </w:pPr>
    </w:lvl>
  </w:abstractNum>
  <w:abstractNum w:abstractNumId="18">
    <w:lvl w:ilvl="0">
      <w:start w:val="1"/>
      <w:numFmt w:val="decimal"/>
      <w:lvlText w:val="%1)"/>
      <w:lvlJc w:val="left"/>
      <w:pPr>
        <w:tabs>
          <w:tab w:val="num" w:pos="0"/>
        </w:tabs>
        <w:ind w:left="729" w:hanging="360"/>
      </w:pPr>
      <w:rPr>
        <w:b w:val="false"/>
      </w:rPr>
    </w:lvl>
    <w:lvl w:ilvl="1">
      <w:start w:val="1"/>
      <w:numFmt w:val="lowerLetter"/>
      <w:lvlText w:val="%2."/>
      <w:lvlJc w:val="left"/>
      <w:pPr>
        <w:tabs>
          <w:tab w:val="num" w:pos="0"/>
        </w:tabs>
        <w:ind w:left="1449" w:hanging="360"/>
      </w:pPr>
    </w:lvl>
    <w:lvl w:ilvl="2">
      <w:start w:val="1"/>
      <w:numFmt w:val="lowerRoman"/>
      <w:lvlText w:val="%3."/>
      <w:lvlJc w:val="right"/>
      <w:pPr>
        <w:tabs>
          <w:tab w:val="num" w:pos="0"/>
        </w:tabs>
        <w:ind w:left="2169" w:hanging="180"/>
      </w:pPr>
    </w:lvl>
    <w:lvl w:ilvl="3">
      <w:start w:val="1"/>
      <w:numFmt w:val="decimal"/>
      <w:lvlText w:val="%4."/>
      <w:lvlJc w:val="left"/>
      <w:pPr>
        <w:tabs>
          <w:tab w:val="num" w:pos="0"/>
        </w:tabs>
        <w:ind w:left="2889" w:hanging="360"/>
      </w:pPr>
    </w:lvl>
    <w:lvl w:ilvl="4">
      <w:start w:val="1"/>
      <w:numFmt w:val="lowerLetter"/>
      <w:lvlText w:val="%5."/>
      <w:lvlJc w:val="left"/>
      <w:pPr>
        <w:tabs>
          <w:tab w:val="num" w:pos="0"/>
        </w:tabs>
        <w:ind w:left="3609" w:hanging="360"/>
      </w:pPr>
    </w:lvl>
    <w:lvl w:ilvl="5">
      <w:start w:val="1"/>
      <w:numFmt w:val="lowerRoman"/>
      <w:lvlText w:val="%6."/>
      <w:lvlJc w:val="right"/>
      <w:pPr>
        <w:tabs>
          <w:tab w:val="num" w:pos="0"/>
        </w:tabs>
        <w:ind w:left="4329" w:hanging="180"/>
      </w:pPr>
    </w:lvl>
    <w:lvl w:ilvl="6">
      <w:start w:val="1"/>
      <w:numFmt w:val="decimal"/>
      <w:lvlText w:val="%7."/>
      <w:lvlJc w:val="left"/>
      <w:pPr>
        <w:tabs>
          <w:tab w:val="num" w:pos="0"/>
        </w:tabs>
        <w:ind w:left="5049" w:hanging="360"/>
      </w:pPr>
    </w:lvl>
    <w:lvl w:ilvl="7">
      <w:start w:val="1"/>
      <w:numFmt w:val="lowerLetter"/>
      <w:lvlText w:val="%8."/>
      <w:lvlJc w:val="left"/>
      <w:pPr>
        <w:tabs>
          <w:tab w:val="num" w:pos="0"/>
        </w:tabs>
        <w:ind w:left="5769" w:hanging="360"/>
      </w:pPr>
    </w:lvl>
    <w:lvl w:ilvl="8">
      <w:start w:val="1"/>
      <w:numFmt w:val="lowerRoman"/>
      <w:lvlText w:val="%9."/>
      <w:lvlJc w:val="right"/>
      <w:pPr>
        <w:tabs>
          <w:tab w:val="num" w:pos="0"/>
        </w:tabs>
        <w:ind w:left="6489" w:hanging="180"/>
      </w:pPr>
    </w:lvl>
  </w:abstractNum>
  <w:abstractNum w:abstractNumId="19">
    <w:lvl w:ilvl="0">
      <w:start w:val="1"/>
      <w:numFmt w:val="decimal"/>
      <w:lvlText w:val="%1)"/>
      <w:lvlJc w:val="left"/>
      <w:pPr>
        <w:tabs>
          <w:tab w:val="num" w:pos="0"/>
        </w:tabs>
        <w:ind w:left="720" w:hanging="360"/>
      </w:pPr>
      <w:rPr>
        <w:sz w:val="24"/>
        <w:shd w:fill="auto" w:val="clear"/>
        <w:szCs w:val="20"/>
        <w:w w:val="10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lvl w:ilvl="0">
      <w:start w:val="1"/>
      <w:numFmt w:val="decimal"/>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27"/>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507d"/>
    <w:pPr>
      <w:widowControl/>
      <w:bidi w:val="0"/>
      <w:spacing w:before="0" w:after="0"/>
      <w:jc w:val="left"/>
    </w:pPr>
    <w:rPr>
      <w:rFonts w:eastAsia="Times New Roman" w:ascii="Calibri" w:hAnsi="Calibri" w:cs="Times New Roman"/>
      <w:color w:val="auto"/>
      <w:kern w:val="0"/>
      <w:sz w:val="20"/>
      <w:szCs w:val="20"/>
      <w:lang w:val="pl-PL" w:eastAsia="pl-PL" w:bidi="ar-SA"/>
    </w:rPr>
  </w:style>
  <w:style w:type="paragraph" w:styleId="Nagwek1">
    <w:name w:val="Heading 1"/>
    <w:basedOn w:val="Normal"/>
    <w:next w:val="Normal"/>
    <w:link w:val="Nagwek1Znak"/>
    <w:uiPriority w:val="9"/>
    <w:qFormat/>
    <w:pPr>
      <w:keepNext w:val="true"/>
      <w:keepLines/>
      <w:outlineLvl w:val="0"/>
    </w:pPr>
    <w:rPr>
      <w:rFonts w:ascii="Calibri Light" w:hAnsi="Calibri Light" w:eastAsia="Calibri Light"/>
      <w:color w:val="2F5496" w:themeColor="accent1" w:themeShade="bf"/>
      <w:sz w:val="32"/>
      <w:szCs w:val="32"/>
    </w:rPr>
  </w:style>
  <w:style w:type="paragraph" w:styleId="Nagwek2">
    <w:name w:val="Heading 2"/>
    <w:basedOn w:val="Normal"/>
    <w:next w:val="Normal"/>
    <w:link w:val="Nagwek2Znak"/>
    <w:uiPriority w:val="9"/>
    <w:semiHidden/>
    <w:unhideWhenUsed/>
    <w:qFormat/>
    <w:pPr>
      <w:keepNext w:val="true"/>
      <w:keepLines/>
      <w:outlineLvl w:val="1"/>
    </w:pPr>
    <w:rPr>
      <w:rFonts w:ascii="Calibri Light" w:hAnsi="Calibri Light" w:eastAsia="Calibri Light"/>
      <w:color w:val="2F5496" w:themeColor="accent1" w:themeShade="bf"/>
      <w:sz w:val="26"/>
      <w:szCs w:val="26"/>
    </w:rPr>
  </w:style>
  <w:style w:type="character" w:styleId="DefaultParagraphFont" w:default="1">
    <w:name w:val="Default Paragraph Font"/>
    <w:uiPriority w:val="1"/>
    <w:semiHidden/>
    <w:unhideWhenUsed/>
    <w:qFormat/>
    <w:rPr/>
  </w:style>
  <w:style w:type="character" w:styleId="Wyrnienie" w:customStyle="1">
    <w:name w:val="Wyróżnienie"/>
    <w:basedOn w:val="DefaultParagraphFont"/>
    <w:uiPriority w:val="99"/>
    <w:qFormat/>
    <w:locked/>
    <w:rsid w:val="00470177"/>
    <w:rPr>
      <w:rFonts w:ascii="Times New Roman" w:hAnsi="Times New Roman" w:cs="Times New Roman"/>
      <w:i/>
      <w:iCs/>
    </w:rPr>
  </w:style>
  <w:style w:type="character" w:styleId="Strong">
    <w:name w:val="Strong"/>
    <w:uiPriority w:val="20"/>
    <w:qFormat/>
    <w:rPr>
      <w:b/>
      <w:w w:val="100"/>
      <w:sz w:val="20"/>
      <w:szCs w:val="20"/>
      <w:shd w:fill="auto" w:val="clear"/>
    </w:rPr>
  </w:style>
  <w:style w:type="character" w:styleId="Nagwek1Znak" w:customStyle="1">
    <w:name w:val="Nagłówek 1 Znak"/>
    <w:basedOn w:val="DefaultParagraphFont"/>
    <w:link w:val="Nagwek1"/>
    <w:qFormat/>
    <w:rPr>
      <w:rFonts w:ascii="Calibri Light" w:hAnsi="Calibri Light" w:eastAsia="Calibri Light"/>
      <w:color w:val="2F5496" w:themeColor="accent1" w:themeShade="bf"/>
      <w:w w:val="100"/>
      <w:sz w:val="32"/>
      <w:szCs w:val="32"/>
      <w:shd w:fill="auto" w:val="clear"/>
    </w:rPr>
  </w:style>
  <w:style w:type="character" w:styleId="Czeinternetowe">
    <w:name w:val="Łącze internetowe"/>
    <w:uiPriority w:val="99"/>
    <w:unhideWhenUsed/>
    <w:rPr>
      <w:color w:val="0000FF"/>
      <w:w w:val="100"/>
      <w:sz w:val="20"/>
      <w:szCs w:val="20"/>
      <w:u w:val="single"/>
      <w:shd w:fill="auto" w:val="clear"/>
    </w:rPr>
  </w:style>
  <w:style w:type="character" w:styleId="TekstprzypisudolnegoZnak" w:customStyle="1">
    <w:name w:val="Tekst przypisu dolnego Znak"/>
    <w:basedOn w:val="DefaultParagraphFont"/>
    <w:link w:val="Tekstprzypisudolnego"/>
    <w:qFormat/>
    <w:rPr>
      <w:rFonts w:ascii="Calibri" w:hAnsi="Calibri" w:eastAsia="Times New Roman"/>
      <w:w w:val="100"/>
      <w:sz w:val="20"/>
      <w:szCs w:val="20"/>
      <w:shd w:fill="auto" w:val="clear"/>
    </w:rPr>
  </w:style>
  <w:style w:type="character" w:styleId="Zakotwiczenieprzypisudolnego">
    <w:name w:val="Zakotwiczenie przypisu dolnego"/>
    <w:rPr>
      <w:vertAlign w:val="superscript"/>
    </w:rPr>
  </w:style>
  <w:style w:type="character" w:styleId="FootnoteCharacters">
    <w:name w:val="Footnote Characters"/>
    <w:qFormat/>
    <w:rPr>
      <w:w w:val="100"/>
      <w:sz w:val="20"/>
      <w:szCs w:val="20"/>
      <w:shd w:fill="auto" w:val="clear"/>
      <w:vertAlign w:val="superscript"/>
    </w:rPr>
  </w:style>
  <w:style w:type="character" w:styleId="Nagwek2Znak" w:customStyle="1">
    <w:name w:val="Nagłówek 2 Znak"/>
    <w:basedOn w:val="DefaultParagraphFont"/>
    <w:link w:val="Nagwek2"/>
    <w:qFormat/>
    <w:rPr>
      <w:rFonts w:ascii="Calibri Light" w:hAnsi="Calibri Light" w:eastAsia="Calibri Light"/>
      <w:color w:val="2F5496" w:themeColor="accent1" w:themeShade="bf"/>
      <w:w w:val="100"/>
      <w:sz w:val="26"/>
      <w:szCs w:val="26"/>
      <w:shd w:fill="auto" w:val="clear"/>
    </w:rPr>
  </w:style>
  <w:style w:type="character" w:styleId="NagwekZnak" w:customStyle="1">
    <w:name w:val="Nagłówek Znak"/>
    <w:basedOn w:val="DefaultParagraphFont"/>
    <w:link w:val="Nagwek"/>
    <w:qFormat/>
    <w:rPr>
      <w:rFonts w:ascii="Calibri" w:hAnsi="Calibri" w:eastAsia="Times New Roman"/>
      <w:w w:val="100"/>
      <w:sz w:val="20"/>
      <w:szCs w:val="20"/>
      <w:shd w:fill="auto" w:val="clear"/>
    </w:rPr>
  </w:style>
  <w:style w:type="character" w:styleId="StopkaZnak" w:customStyle="1">
    <w:name w:val="Stopka Znak"/>
    <w:basedOn w:val="DefaultParagraphFont"/>
    <w:link w:val="Stopka"/>
    <w:qFormat/>
    <w:rPr>
      <w:rFonts w:ascii="Calibri" w:hAnsi="Calibri" w:eastAsia="Times New Roman"/>
      <w:w w:val="100"/>
      <w:sz w:val="20"/>
      <w:szCs w:val="20"/>
      <w:shd w:fill="auto" w:val="clear"/>
    </w:rPr>
  </w:style>
  <w:style w:type="character" w:styleId="Annotationreference">
    <w:name w:val="annotation reference"/>
    <w:basedOn w:val="DefaultParagraphFont"/>
    <w:unhideWhenUsed/>
    <w:qFormat/>
    <w:rPr>
      <w:w w:val="100"/>
      <w:sz w:val="16"/>
      <w:szCs w:val="16"/>
      <w:shd w:fill="auto" w:val="clear"/>
    </w:rPr>
  </w:style>
  <w:style w:type="character" w:styleId="TekstkomentarzaZnak" w:customStyle="1">
    <w:name w:val="Tekst komentarza Znak"/>
    <w:basedOn w:val="DefaultParagraphFont"/>
    <w:link w:val="Tekstkomentarza"/>
    <w:uiPriority w:val="99"/>
    <w:qFormat/>
    <w:rPr>
      <w:rFonts w:ascii="Calibri" w:hAnsi="Calibri" w:eastAsia="Times New Roman"/>
      <w:w w:val="100"/>
      <w:sz w:val="20"/>
      <w:szCs w:val="20"/>
      <w:shd w:fill="auto" w:val="clear"/>
    </w:rPr>
  </w:style>
  <w:style w:type="character" w:styleId="TematkomentarzaZnak" w:customStyle="1">
    <w:name w:val="Temat komentarza Znak"/>
    <w:basedOn w:val="TekstkomentarzaZnak"/>
    <w:link w:val="Tematkomentarza"/>
    <w:semiHidden/>
    <w:qFormat/>
    <w:rPr>
      <w:rFonts w:ascii="Calibri" w:hAnsi="Calibri" w:eastAsia="Times New Roman"/>
      <w:b/>
      <w:w w:val="100"/>
      <w:sz w:val="20"/>
      <w:szCs w:val="20"/>
      <w:shd w:fill="auto" w:val="clear"/>
    </w:rPr>
  </w:style>
  <w:style w:type="character" w:styleId="TekstdymkaZnak" w:customStyle="1">
    <w:name w:val="Tekst dymka Znak"/>
    <w:basedOn w:val="DefaultParagraphFont"/>
    <w:link w:val="Tekstdymka"/>
    <w:semiHidden/>
    <w:qFormat/>
    <w:rPr>
      <w:rFonts w:ascii="Tahoma" w:hAnsi="Tahoma" w:eastAsia="Tahoma"/>
      <w:w w:val="100"/>
      <w:sz w:val="16"/>
      <w:szCs w:val="16"/>
      <w:shd w:fill="auto" w:val="clear"/>
    </w:rPr>
  </w:style>
  <w:style w:type="character" w:styleId="Highlight" w:customStyle="1">
    <w:name w:val="highlight"/>
    <w:basedOn w:val="DefaultParagraphFont"/>
    <w:qFormat/>
    <w:rPr/>
  </w:style>
  <w:style w:type="character" w:styleId="TekstprzypisukocowegoZnak" w:customStyle="1">
    <w:name w:val="Tekst przypisu końcowego Znak"/>
    <w:basedOn w:val="DefaultParagraphFont"/>
    <w:link w:val="Tekstprzypisukocowego"/>
    <w:semiHidden/>
    <w:qFormat/>
    <w:rPr>
      <w:rFonts w:ascii="Calibri" w:hAnsi="Calibri" w:eastAsia="Times New Roman"/>
      <w:w w:val="100"/>
      <w:sz w:val="20"/>
      <w:szCs w:val="20"/>
      <w:shd w:fill="auto" w:val="clear"/>
    </w:rPr>
  </w:style>
  <w:style w:type="character" w:styleId="Zakotwiczenieprzypisukocowego">
    <w:name w:val="Zakotwiczenie przypisu końcowego"/>
    <w:rPr>
      <w:vertAlign w:val="superscript"/>
    </w:rPr>
  </w:style>
  <w:style w:type="character" w:styleId="EndnoteCharacters">
    <w:name w:val="Endnote Characters"/>
    <w:basedOn w:val="DefaultParagraphFont"/>
    <w:semiHidden/>
    <w:unhideWhenUsed/>
    <w:qFormat/>
    <w:rPr>
      <w:w w:val="100"/>
      <w:sz w:val="20"/>
      <w:szCs w:val="20"/>
      <w:shd w:fill="auto" w:val="clear"/>
      <w:vertAlign w:val="superscript"/>
    </w:rPr>
  </w:style>
  <w:style w:type="character" w:styleId="Ngbinding" w:customStyle="1">
    <w:name w:val="ng-binding"/>
    <w:basedOn w:val="DefaultParagraphFont"/>
    <w:qFormat/>
    <w:rsid w:val="004f4a17"/>
    <w:rPr/>
  </w:style>
  <w:style w:type="character" w:styleId="AkapitzlistZnak" w:customStyle="1">
    <w:name w:val="Akapit z listą Znak"/>
    <w:link w:val="Akapitzlist"/>
    <w:uiPriority w:val="34"/>
    <w:qFormat/>
    <w:locked/>
    <w:rsid w:val="005a53b3"/>
    <w:rPr>
      <w:rFonts w:eastAsia="Times New Roman"/>
      <w:sz w:val="20"/>
      <w:szCs w:val="20"/>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pPr>
      <w:ind w:left="720" w:hanging="0"/>
    </w:pPr>
    <w:rPr/>
  </w:style>
  <w:style w:type="paragraph" w:styleId="TOCHeading">
    <w:name w:val="TOC Heading"/>
    <w:basedOn w:val="Nagwek1"/>
    <w:next w:val="Normal"/>
    <w:uiPriority w:val="27"/>
    <w:unhideWhenUsed/>
    <w:qFormat/>
    <w:pPr/>
    <w:rPr>
      <w:rFonts w:ascii="Cambria" w:hAnsi="Cambria" w:eastAsia="Times New Roman"/>
      <w:color w:val="365F91"/>
      <w:sz w:val="28"/>
      <w:szCs w:val="28"/>
    </w:rPr>
  </w:style>
  <w:style w:type="paragraph" w:styleId="Spistreci1">
    <w:name w:val="TOC 1"/>
    <w:basedOn w:val="Normal"/>
    <w:next w:val="Normal"/>
    <w:uiPriority w:val="39"/>
    <w:unhideWhenUsed/>
    <w:qFormat/>
    <w:pPr/>
    <w:rPr/>
  </w:style>
  <w:style w:type="paragraph" w:styleId="Spistreci2">
    <w:name w:val="TOC 2"/>
    <w:basedOn w:val="Normal"/>
    <w:next w:val="Normal"/>
    <w:uiPriority w:val="29"/>
    <w:unhideWhenUsed/>
    <w:qFormat/>
    <w:pPr>
      <w:ind w:left="220" w:hanging="0"/>
    </w:pPr>
    <w:rPr>
      <w:rFonts w:ascii="NanumGothic" w:hAnsi="NanumGothic"/>
    </w:rPr>
  </w:style>
  <w:style w:type="paragraph" w:styleId="Spistreci3">
    <w:name w:val="TOC 3"/>
    <w:basedOn w:val="Normal"/>
    <w:next w:val="Normal"/>
    <w:uiPriority w:val="30"/>
    <w:semiHidden/>
    <w:unhideWhenUsed/>
    <w:pPr>
      <w:ind w:left="440" w:hanging="0"/>
    </w:pPr>
    <w:rPr/>
  </w:style>
  <w:style w:type="paragraph" w:styleId="Przypisdolny">
    <w:name w:val="Footnote Text"/>
    <w:basedOn w:val="Normal"/>
    <w:link w:val="TekstprzypisudolnegoZnak"/>
    <w:unhideWhenUsed/>
    <w:pPr/>
    <w:rPr/>
  </w:style>
  <w:style w:type="paragraph" w:styleId="Gwkaistopka">
    <w:name w:val="Główka i stopka"/>
    <w:basedOn w:val="Normal"/>
    <w:qFormat/>
    <w:pPr/>
    <w:rPr/>
  </w:style>
  <w:style w:type="paragraph" w:styleId="Gwka">
    <w:name w:val="Header"/>
    <w:basedOn w:val="Normal"/>
    <w:link w:val="NagwekZnak"/>
    <w:unhideWhenUsed/>
    <w:pPr>
      <w:tabs>
        <w:tab w:val="clear" w:pos="708"/>
        <w:tab w:val="center" w:pos="4536" w:leader="none"/>
        <w:tab w:val="right" w:pos="9072" w:leader="none"/>
      </w:tabs>
    </w:pPr>
    <w:rPr/>
  </w:style>
  <w:style w:type="paragraph" w:styleId="Stopka">
    <w:name w:val="Footer"/>
    <w:basedOn w:val="Normal"/>
    <w:link w:val="StopkaZnak"/>
    <w:unhideWhenUsed/>
    <w:pPr>
      <w:tabs>
        <w:tab w:val="clear" w:pos="708"/>
        <w:tab w:val="center" w:pos="4536" w:leader="none"/>
        <w:tab w:val="right" w:pos="9072" w:leader="none"/>
      </w:tabs>
    </w:pPr>
    <w:rPr/>
  </w:style>
  <w:style w:type="paragraph" w:styleId="Annotationtext">
    <w:name w:val="annotation text"/>
    <w:basedOn w:val="Normal"/>
    <w:link w:val="TekstkomentarzaZnak"/>
    <w:uiPriority w:val="99"/>
    <w:unhideWhenUsed/>
    <w:qFormat/>
    <w:pPr/>
    <w:rPr/>
  </w:style>
  <w:style w:type="paragraph" w:styleId="Annotationsubject">
    <w:name w:val="annotation subject"/>
    <w:basedOn w:val="Annotationtext"/>
    <w:next w:val="Annotationtext"/>
    <w:link w:val="TematkomentarzaZnak"/>
    <w:semiHidden/>
    <w:unhideWhenUsed/>
    <w:qFormat/>
    <w:pPr/>
    <w:rPr>
      <w:b/>
    </w:rPr>
  </w:style>
  <w:style w:type="paragraph" w:styleId="BalloonText">
    <w:name w:val="Balloon Text"/>
    <w:basedOn w:val="Normal"/>
    <w:link w:val="TekstdymkaZnak"/>
    <w:semiHidden/>
    <w:unhideWhenUsed/>
    <w:qFormat/>
    <w:pPr/>
    <w:rPr>
      <w:rFonts w:ascii="Tahoma" w:hAnsi="Tahoma" w:eastAsia="Tahoma"/>
      <w:sz w:val="16"/>
      <w:szCs w:val="16"/>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Przypiskocowy">
    <w:name w:val="Endnote Text"/>
    <w:basedOn w:val="Normal"/>
    <w:link w:val="TekstprzypisukocowegoZnak"/>
    <w:semiHidden/>
    <w:unhideWhenUsed/>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1F49-7F38-4F9D-8FD3-F58F2DD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LibreOffice/7.1.5.2$Windows_X86_64 LibreOffice_project/85f04e9f809797b8199d13c421bd8a2b025d52b5</Application>
  <AppVersion>15.0000</AppVersion>
  <Pages>15</Pages>
  <Words>5641</Words>
  <Characters>36495</Characters>
  <CharactersWithSpaces>41718</CharactersWithSpaces>
  <Paragraphs>277</Paragraphs>
  <Company>MRiPS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2021-10-11T05:44:00Z</dcterms:created>
  <dc:creator>Paweł Wdówik</dc:creator>
  <dc:description/>
  <dc:language>pl-PL</dc:language>
  <cp:lastModifiedBy>Ewa Dabrowska</cp:lastModifiedBy>
  <cp:lastPrinted>2021-09-30T09:16:00Z</cp:lastPrinted>
  <dcterms:modified xsi:type="dcterms:W3CDTF">2021-10-11T14:15:00Z</dcterms:modified>
  <cp:revision>3</cp:revision>
  <dc:subject/>
  <dc:title>Program „Asystent osobisty osoby niepełnosprawnej</dc:title>
</cp:coreProperties>
</file>

<file path=docProps/custom.xml><?xml version="1.0" encoding="utf-8"?>
<Properties xmlns="http://schemas.openxmlformats.org/officeDocument/2006/custom-properties" xmlns:vt="http://schemas.openxmlformats.org/officeDocument/2006/docPropsVTypes"/>
</file>